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81CE7"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tl/>
        </w:rPr>
        <w:t>بررسي و نقد نظر پارسونز درخصوص «فرهنگ</w:t>
      </w:r>
      <w:r w:rsidRPr="0081507C">
        <w:rPr>
          <w:rFonts w:ascii="Ahang DemiBoldSharp" w:hAnsi="Ahang DemiBoldSharp" w:cs="Ahang DemiBoldSharp"/>
          <w:sz w:val="21"/>
          <w:szCs w:val="21"/>
        </w:rPr>
        <w:t>»</w:t>
      </w:r>
    </w:p>
    <w:p w14:paraId="17B987E3"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 </w:t>
      </w:r>
      <w:r w:rsidRPr="0081507C">
        <w:rPr>
          <w:rFonts w:ascii="Ahang DemiBoldSharp" w:hAnsi="Ahang DemiBoldSharp" w:cs="Ahang DemiBoldSharp"/>
          <w:sz w:val="21"/>
          <w:szCs w:val="21"/>
          <w:rtl/>
        </w:rPr>
        <w:t>پارسونز از تأثيرگذارترين چهره‌هاي جامعه‌پژوهي قرن اخير قلمداد مي‌شود. او در قرن بيستم يكي از نظريه‌پردازان بسيار فعال در حوزه‌ي مطالعات اجتماعي با رويكرد فلسفي بود. نظريات او در امريكا، اروپا و بعدها در نقاط ديگر جهان و از جمله در ايران، توجه‌ها را به خود جلب كرد. تقسيم معروف نظام‌ها به «اجتماعي ـ سياسي، فرهنگي ـ اقتصادي» از آن اوست. ديدگاه‌هاي پارسونز، ذهنيت جوامع گوناگون و از جمله ما ايرانيان را به‌گونه‌اي تصرف كرده است كه اين تقسيم او را موضوعي مسلم تلقي مي‌كنيم؛ گويي قالب ديگري براي ساختاربندي و صورت‌بندي مسائلي كه انسان و جامعه‌ي انساني با آن سروكار دارد متصور نيست. اين تقسيم آن‌چنان در ذهن و ادبيات علمي، فرهنگي و جامعه‌شناختي جا باز كرده است كه هيچ‌كس در انديشه‌ي تجديد نظر در آن نيست</w:t>
      </w:r>
      <w:r w:rsidRPr="0081507C">
        <w:rPr>
          <w:rFonts w:ascii="Ahang DemiBoldSharp" w:hAnsi="Ahang DemiBoldSharp" w:cs="Ahang DemiBoldSharp"/>
          <w:sz w:val="21"/>
          <w:szCs w:val="21"/>
        </w:rPr>
        <w:t>.</w:t>
      </w:r>
    </w:p>
    <w:p w14:paraId="439ECB42"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 </w:t>
      </w:r>
      <w:r w:rsidRPr="0081507C">
        <w:rPr>
          <w:rFonts w:ascii="Ahang DemiBoldSharp" w:hAnsi="Ahang DemiBoldSharp" w:cs="Ahang DemiBoldSharp"/>
          <w:sz w:val="21"/>
          <w:szCs w:val="21"/>
          <w:rtl/>
        </w:rPr>
        <w:t>پارسونز در حوزه‌هاي گوناگون مربوط به مباحث اجتماعي نظريات جديد و منحصربه‌فردي مطرح كرده است. وي هرچند مانند هر نظريه‌پرداز ديگري، از انديشمندان و انديشه‌ورزان پيش از خود، به ويژه دوركيم و ماكس‌ وبر، تأثير پذيرفته، با دريافت و الهام از چهره‌هاي پيش از خود و با تأمل، تدبير و درنگ‌هاي انتزاعي و شبه‌فلسفي و گاه با استشهاد به شواهد تجربي و عيني نظريه‌هاي جديدي در حوزه‌ي مطالعات اجتماعي مطرح كرده است</w:t>
      </w:r>
      <w:r w:rsidRPr="0081507C">
        <w:rPr>
          <w:rFonts w:ascii="Ahang DemiBoldSharp" w:hAnsi="Ahang DemiBoldSharp" w:cs="Ahang DemiBoldSharp"/>
          <w:sz w:val="21"/>
          <w:szCs w:val="21"/>
        </w:rPr>
        <w:t>.</w:t>
      </w:r>
    </w:p>
    <w:p w14:paraId="3DE87ADE"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 </w:t>
      </w:r>
      <w:r w:rsidRPr="0081507C">
        <w:rPr>
          <w:rFonts w:ascii="Ahang DemiBoldSharp" w:hAnsi="Ahang DemiBoldSharp" w:cs="Ahang DemiBoldSharp"/>
          <w:sz w:val="21"/>
          <w:szCs w:val="21"/>
          <w:rtl/>
        </w:rPr>
        <w:t>اين انديشمند قرن بيستم در برابر جريان‌هاي پژوهشي يا مطالعه‌گرِ جامعه كه با محوريت عقلانيت، رفتار يا زاويه‌هاي ديگر درباره‌ي جامعه مي‌انديشيدند، بر نظريه‌ي جديدي حول محور «كنش» تأكيد كرد. پارسونز هويت و شخصيت افراد را تحت تأثير و در چهارچوب فرهنگ مطالعه ‌كرد و جهان اجتماعي را به شدت تأثيرپذيرفته از فرهنگ ‌دانست. وي درحالي‌كه تقسيم‌هاي گوناگوني براي عرصه‌ي حيات و مناسبات انسان در نظر مي‌گرفت، فرهنگ و نظام فرهنگي را بر ديگر جهان‌ها، مانند جهان اجتماع، اقتصاد و شخصيت فردي مسلط مي‌دانست</w:t>
      </w:r>
      <w:r w:rsidRPr="0081507C">
        <w:rPr>
          <w:rFonts w:ascii="Ahang DemiBoldSharp" w:hAnsi="Ahang DemiBoldSharp" w:cs="Ahang DemiBoldSharp"/>
          <w:sz w:val="21"/>
          <w:szCs w:val="21"/>
        </w:rPr>
        <w:t>.</w:t>
      </w:r>
    </w:p>
    <w:p w14:paraId="1ABE72F6"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 </w:t>
      </w:r>
      <w:r w:rsidRPr="0081507C">
        <w:rPr>
          <w:rFonts w:ascii="Ahang DemiBoldSharp" w:hAnsi="Ahang DemiBoldSharp" w:cs="Ahang DemiBoldSharp"/>
          <w:sz w:val="21"/>
          <w:szCs w:val="21"/>
          <w:rtl/>
        </w:rPr>
        <w:t>بنابراين در تفكر پارسونز فرهنگ يك عامل كانوني قلمداد مي‌شود و در عين حال از چيزي به نام «نظم اجتماعي» همچنين «شخصيت و هويت آحاد و افراد جامعه» در عرض فرهنگ سخن گفته مي‌شود. او جهان يا نظام اجتماعي را يك نظام مي‌شمرد، شخصيت و هويت افراد را يك عالم معرفي مي‌كند و جهان فرهنگي را هم عالمي ديگر، و به ظاهر در نظر او جهان و نظام فرهنگي در عرض بقيه‌ي نظام‌ها قرار دارد اما تأمل و تعمق در آراي او از در نظر گرفتن جايگاهي برتر و تأثيرگذار براي «جهان فرهنگي» و مقوله‌ي فرهنگ حكايت مي‌كند؛ يعني جايگاهي سيال و ساري كه در ساير حوزه‌ها هم سريان و نفوذ دارد و تأثير مي‌گذارد، به گونه‌اي كه باقي حوزه‌ها و جايگاه‌ها متأثر از جايگاه مقوله‌ي فرهنگ‌اند و اين تأثيرپذيري تا جايي است كه گويي فرهنگ شكل‌دهنده‌ي ساير حوزه‌ها قلمداد مي‌شود</w:t>
      </w:r>
      <w:r w:rsidRPr="0081507C">
        <w:rPr>
          <w:rFonts w:ascii="Ahang DemiBoldSharp" w:hAnsi="Ahang DemiBoldSharp" w:cs="Ahang DemiBoldSharp"/>
          <w:sz w:val="21"/>
          <w:szCs w:val="21"/>
        </w:rPr>
        <w:t>.</w:t>
      </w:r>
    </w:p>
    <w:p w14:paraId="174D18D1"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 </w:t>
      </w:r>
      <w:r w:rsidRPr="0081507C">
        <w:rPr>
          <w:rFonts w:ascii="Ahang DemiBoldSharp" w:hAnsi="Ahang DemiBoldSharp" w:cs="Ahang DemiBoldSharp"/>
          <w:sz w:val="21"/>
          <w:szCs w:val="21"/>
          <w:rtl/>
        </w:rPr>
        <w:t>پارسونز آن‌قدر بر سهم فرهنگ در شكل‌گيري ساير حوزه‌ها تأكيد كرده كه به افراط در كاركرد فرهنگ در ديگر حوزه‌ها و حتي «جبرگرايي فرهنگي» متهم ‌شده است؛ زيرا وي همه‌چيز را در چهارچوب ارزش‌هاي فرهنگي تبيين و توجيه‌پذير دانسته است. «رفتار انسان» تحت تأثير ارزش‌هاي حاكم بر ذهنيت اوست، همچنين جهت‌گيري و انسجام جوامع و تحفظ بر نظام‌هاي موجود در جوامع، همگي تحت تأثير ارزش‌هاي فرهنگي است كه بر آن جامعه و ذهنيت افرادي كه در آن بستر فرهنگي زندگي مي‌كنند، حاكم است. كنش فردي ـ اجتماعي افراد و جوامع تحت تأثير مجموعه ارزش‌هاي فرهنگي و عناصري است كه به مثابه فرهنگ بر ذهنيت افراد و وضعيت جهان اجتماعي آنها حاكم است</w:t>
      </w:r>
      <w:r w:rsidRPr="0081507C">
        <w:rPr>
          <w:rFonts w:ascii="Ahang DemiBoldSharp" w:hAnsi="Ahang DemiBoldSharp" w:cs="Ahang DemiBoldSharp"/>
          <w:sz w:val="21"/>
          <w:szCs w:val="21"/>
        </w:rPr>
        <w:t>.</w:t>
      </w:r>
    </w:p>
    <w:p w14:paraId="03BDCE6A"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 </w:t>
      </w:r>
      <w:r w:rsidRPr="0081507C">
        <w:rPr>
          <w:rFonts w:ascii="Ahang DemiBoldSharp" w:hAnsi="Ahang DemiBoldSharp" w:cs="Ahang DemiBoldSharp"/>
          <w:sz w:val="21"/>
          <w:szCs w:val="21"/>
          <w:rtl/>
        </w:rPr>
        <w:t>گرچه او گاهي از نقش فعال و كنشگرانه‌ي انسان هم سخن رانده و گفته كه گاه ممكن است انسان فرهنگ را تغيير دهد، بر فرهنگ تأثير گذارد و فرهنگ‌سازي كند، اما اين مدعا در نظريات او تبيين كافي پيدا نكرده است. در تبيين‌ها و تفسيرهاي پارسونز از جامعه، كه براساس بعضي نظريه‌ها و ديدگاه‌هاي كلي و بعضي قواعدي است كه بر مناسبات، رفتارها و تعاملات اجتماعي حاكم مي‌داند ردّ پاي اين ديدگاه كه فرهنگ نيز از اراده‌ي انسان تأثير مي‌پذيرد و انسان صورت‌دهنده‌ي فرهنگ است، ديده نمي‌شود</w:t>
      </w:r>
      <w:r w:rsidRPr="0081507C">
        <w:rPr>
          <w:rFonts w:ascii="Ahang DemiBoldSharp" w:hAnsi="Ahang DemiBoldSharp" w:cs="Ahang DemiBoldSharp"/>
          <w:sz w:val="21"/>
          <w:szCs w:val="21"/>
        </w:rPr>
        <w:t>.</w:t>
      </w:r>
    </w:p>
    <w:p w14:paraId="23A46CBC"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lastRenderedPageBreak/>
        <w:t> </w:t>
      </w:r>
      <w:r w:rsidRPr="0081507C">
        <w:rPr>
          <w:rFonts w:ascii="Ahang DemiBoldSharp" w:hAnsi="Ahang DemiBoldSharp" w:cs="Ahang DemiBoldSharp"/>
          <w:sz w:val="21"/>
          <w:szCs w:val="21"/>
          <w:rtl/>
        </w:rPr>
        <w:t>سه گونه فهم و تفسير الگومند و سه مبنا براي ماهيت كنش انساني مطرح شده كه عبارت‌اند از: «الگوي رفتارگرا»، «الگوي عقل‌گرا» و «الگوي فرهنگ‌گرا». مي‌توان گفت پارسونز بنيان‌گذار الگوي فرهنگ‌گرا است و فرهنگ را عامل مسلط و صورت‌بند همه‌ي مناسبات و رفتارها تلقي مي‌كند</w:t>
      </w:r>
      <w:r w:rsidRPr="0081507C">
        <w:rPr>
          <w:rFonts w:ascii="Ahang DemiBoldSharp" w:hAnsi="Ahang DemiBoldSharp" w:cs="Ahang DemiBoldSharp"/>
          <w:sz w:val="21"/>
          <w:szCs w:val="21"/>
        </w:rPr>
        <w:t>.</w:t>
      </w:r>
    </w:p>
    <w:p w14:paraId="75EC32EC"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 </w:t>
      </w:r>
      <w:r w:rsidRPr="0081507C">
        <w:rPr>
          <w:rFonts w:ascii="Ahang DemiBoldSharp" w:hAnsi="Ahang DemiBoldSharp" w:cs="Ahang DemiBoldSharp"/>
          <w:sz w:val="21"/>
          <w:szCs w:val="21"/>
          <w:rtl/>
        </w:rPr>
        <w:t>پارسونز از چهار نظام كنش اسم مي‌برد: «نظام اجتماعي»، «نظام فرهنگي»، «نظام شخصيتي» و «ارگانيسم رفتاري». از نظر او يك نظام اجتماعي از مجموعه‌اي از كنشگران فردي ساخته مي‌شود كه رابطه‌ي آنها با موقعيتشان و همچنين با يكديگر به واسطه‌ي يك نظام ساختاربندي‌شده و فرهنگي مشترك مشخص مي‌شود. هر انسان و جامعه‌اي هنگام رويارويي با حوادثي كه پيش مي‌آيد، عكس‌العملي نشان مي‌دهد. همه‌ي اين عكس‌العمل‌ها يا واكنش‌ها تحت تأثير فرهنگي است كه بر ذهنيت افراد و بر شخصيت و تفكر جوامع حاكم است</w:t>
      </w:r>
      <w:r w:rsidRPr="0081507C">
        <w:rPr>
          <w:rFonts w:ascii="Ahang DemiBoldSharp" w:hAnsi="Ahang DemiBoldSharp" w:cs="Ahang DemiBoldSharp"/>
          <w:sz w:val="21"/>
          <w:szCs w:val="21"/>
        </w:rPr>
        <w:t>.</w:t>
      </w:r>
    </w:p>
    <w:p w14:paraId="016A84A5"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 </w:t>
      </w:r>
      <w:r w:rsidRPr="0081507C">
        <w:rPr>
          <w:rFonts w:ascii="Ahang DemiBoldSharp" w:hAnsi="Ahang DemiBoldSharp" w:cs="Ahang DemiBoldSharp"/>
          <w:sz w:val="21"/>
          <w:szCs w:val="21"/>
          <w:rtl/>
        </w:rPr>
        <w:t>در ديدگاه بعضي از انديشه‌ورزان، «جامعه» جايگاه مسيطر و مسلط دارد و فرهنگ مولود جامعه قلمداد مي‌شود، اما پارسونز هويت جامعه را تحت تأثير فرهنگِ مسلط بر آن تفسير و تعبير مي‌كند</w:t>
      </w:r>
      <w:r w:rsidRPr="0081507C">
        <w:rPr>
          <w:rFonts w:ascii="Ahang DemiBoldSharp" w:hAnsi="Ahang DemiBoldSharp" w:cs="Ahang DemiBoldSharp"/>
          <w:sz w:val="21"/>
          <w:szCs w:val="21"/>
        </w:rPr>
        <w:t>.</w:t>
      </w:r>
    </w:p>
    <w:p w14:paraId="6E6F599F"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 </w:t>
      </w:r>
      <w:r w:rsidRPr="0081507C">
        <w:rPr>
          <w:rFonts w:ascii="Ahang DemiBoldSharp" w:hAnsi="Ahang DemiBoldSharp" w:cs="Ahang DemiBoldSharp"/>
          <w:sz w:val="21"/>
          <w:szCs w:val="21"/>
          <w:rtl/>
        </w:rPr>
        <w:t>پارسونز براي فرهنگ دو وجه در نظر مي‌گيرد؛ از سويي در عرض ديگر نظام‌ها، مثل نظام اجتماعي، شخصي و فردي و…، براي فرهنگ استقلال قائل است و آن را يك نظام در عرض باقي نظام‌ها قلمداد مي‌كند، اما از سوي ديگر اجازه مي‌دهد كه فرهنگ در حريم نظام‌هاي ديگر وارد شود و بر آنها تأثير گذارد و در شكل‌دهي و صورت‌دهي آنها سهم داشته باشد</w:t>
      </w:r>
      <w:r w:rsidRPr="0081507C">
        <w:rPr>
          <w:rFonts w:ascii="Ahang DemiBoldSharp" w:hAnsi="Ahang DemiBoldSharp" w:cs="Ahang DemiBoldSharp"/>
          <w:sz w:val="21"/>
          <w:szCs w:val="21"/>
        </w:rPr>
        <w:t>.</w:t>
      </w:r>
    </w:p>
    <w:p w14:paraId="40CE24FF"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 </w:t>
      </w:r>
      <w:r w:rsidRPr="0081507C">
        <w:rPr>
          <w:rFonts w:ascii="Ahang DemiBoldSharp" w:hAnsi="Ahang DemiBoldSharp" w:cs="Ahang DemiBoldSharp"/>
          <w:sz w:val="21"/>
          <w:szCs w:val="21"/>
          <w:rtl/>
        </w:rPr>
        <w:t>ريترز گفته است: «پارسونز، فرهنگ را ن</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رو</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عمده‌ا</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انگاشت</w:t>
      </w:r>
      <w:r w:rsidRPr="0081507C">
        <w:rPr>
          <w:rFonts w:ascii="Ahang DemiBoldSharp" w:hAnsi="Ahang DemiBoldSharp" w:cs="Ahang DemiBoldSharp"/>
          <w:sz w:val="21"/>
          <w:szCs w:val="21"/>
          <w:rtl/>
        </w:rPr>
        <w:t xml:space="preserve"> که عناصر گوناگون جهان اجتماع</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و </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ا</w:t>
      </w:r>
      <w:r w:rsidRPr="0081507C">
        <w:rPr>
          <w:rFonts w:ascii="Ahang DemiBoldSharp" w:hAnsi="Ahang DemiBoldSharp" w:cs="Ahang DemiBoldSharp"/>
          <w:sz w:val="21"/>
          <w:szCs w:val="21"/>
          <w:rtl/>
        </w:rPr>
        <w:t xml:space="preserve"> به تعب</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ر</w:t>
      </w:r>
      <w:r w:rsidRPr="0081507C">
        <w:rPr>
          <w:rFonts w:ascii="Ahang DemiBoldSharp" w:hAnsi="Ahang DemiBoldSharp" w:cs="Ahang DemiBoldSharp"/>
          <w:sz w:val="21"/>
          <w:szCs w:val="21"/>
          <w:rtl/>
        </w:rPr>
        <w:t xml:space="preserve"> خودش، نظام اجتماع</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را به هم پ</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وند</w:t>
      </w:r>
      <w:r w:rsidRPr="0081507C">
        <w:rPr>
          <w:rFonts w:ascii="Ahang DemiBoldSharp" w:hAnsi="Ahang DemiBoldSharp" w:cs="Ahang DemiBoldSharp"/>
          <w:sz w:val="21"/>
          <w:szCs w:val="21"/>
          <w:rtl/>
        </w:rPr>
        <w:t xml:space="preserve"> 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دهد</w:t>
      </w:r>
      <w:r w:rsidRPr="0081507C">
        <w:rPr>
          <w:rFonts w:ascii="Ahang DemiBoldSharp" w:hAnsi="Ahang DemiBoldSharp" w:cs="Ahang DemiBoldSharp"/>
          <w:sz w:val="21"/>
          <w:szCs w:val="21"/>
          <w:rtl/>
        </w:rPr>
        <w:t>. فرهنگ، 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انج</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کنش متقابل 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ان</w:t>
      </w:r>
      <w:r w:rsidRPr="0081507C">
        <w:rPr>
          <w:rFonts w:ascii="Ahang DemiBoldSharp" w:hAnsi="Ahang DemiBoldSharp" w:cs="Ahang DemiBoldSharp"/>
          <w:sz w:val="21"/>
          <w:szCs w:val="21"/>
          <w:rtl/>
        </w:rPr>
        <w:t xml:space="preserve"> کنشگران است و شخص</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ت</w:t>
      </w:r>
      <w:r w:rsidRPr="0081507C">
        <w:rPr>
          <w:rFonts w:ascii="Ahang DemiBoldSharp" w:hAnsi="Ahang DemiBoldSharp" w:cs="Ahang DemiBoldSharp"/>
          <w:sz w:val="21"/>
          <w:szCs w:val="21"/>
          <w:rtl/>
        </w:rPr>
        <w:t xml:space="preserve"> و نظام اجتماع</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را با هم ترک</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ب</w:t>
      </w:r>
      <w:r w:rsidRPr="0081507C">
        <w:rPr>
          <w:rFonts w:ascii="Ahang DemiBoldSharp" w:hAnsi="Ahang DemiBoldSharp" w:cs="Ahang DemiBoldSharp"/>
          <w:sz w:val="21"/>
          <w:szCs w:val="21"/>
          <w:rtl/>
        </w:rPr>
        <w:t xml:space="preserve"> 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کند»</w:t>
      </w:r>
      <w:r w:rsidRPr="0081507C">
        <w:rPr>
          <w:rFonts w:ascii="Ahang DemiBoldSharp" w:hAnsi="Ahang DemiBoldSharp" w:cs="Ahang DemiBoldSharp"/>
          <w:sz w:val="21"/>
          <w:szCs w:val="21"/>
          <w:rtl/>
        </w:rPr>
        <w:t xml:space="preserve"> (ر</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تزر،</w:t>
      </w:r>
      <w:r w:rsidRPr="0081507C">
        <w:rPr>
          <w:rFonts w:ascii="Ahang DemiBoldSharp" w:hAnsi="Ahang DemiBoldSharp" w:cs="Ahang DemiBoldSharp"/>
          <w:sz w:val="21"/>
          <w:szCs w:val="21"/>
          <w:rtl/>
        </w:rPr>
        <w:t xml:space="preserve"> 1385، ص138)</w:t>
      </w:r>
      <w:r w:rsidRPr="0081507C">
        <w:rPr>
          <w:rFonts w:ascii="Ahang DemiBoldSharp" w:hAnsi="Ahang DemiBoldSharp" w:cs="Ahang DemiBoldSharp"/>
          <w:sz w:val="21"/>
          <w:szCs w:val="21"/>
        </w:rPr>
        <w:t>.</w:t>
      </w:r>
    </w:p>
    <w:p w14:paraId="3F6E0FCC"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درواقع</w:t>
      </w:r>
      <w:r w:rsidRPr="0081507C">
        <w:rPr>
          <w:rFonts w:ascii="Ahang DemiBoldSharp" w:hAnsi="Ahang DemiBoldSharp" w:cs="Ahang DemiBoldSharp"/>
          <w:sz w:val="21"/>
          <w:szCs w:val="21"/>
          <w:rtl/>
        </w:rPr>
        <w:t xml:space="preserve"> هر فردي در يك جامعه زماني پذيرفته و هموند و عضو قلمداد مي‌شود كه با آن جامعه هم‌فرهنگ شده باشد و در فرهنگي تنفس كند كه آن جامعه دارد. به سخن ديگر فرهنگ تعيين‌كننده‌ي آن است كه فرد حقيقتاً عضو جامعه قلمداد شود يا خير. ممكن است فردي به ظاهر در متن يك جامعه زندگي كند، اما اگر فرهنگ آن جامعه را نپذيرفته باشد عضو آن جامعه قلمداد نمي‌شود و فردي غريبه در آن جامعه شمرده مي‌شود. فرهنگ در نظام اجتماعي به صورت هنجارها و ارزش‌ها تجسم پيدا مي‌كند و جهت‌گيري و موضع‌گيري جامعه را مشخص مي‌سازد و انسجام آن جامعه را </w:t>
      </w:r>
      <w:r w:rsidRPr="0081507C">
        <w:rPr>
          <w:rFonts w:ascii="Ahang DemiBoldSharp" w:hAnsi="Ahang DemiBoldSharp" w:cs="Ahang DemiBoldSharp" w:hint="eastAsia"/>
          <w:sz w:val="21"/>
          <w:szCs w:val="21"/>
          <w:rtl/>
        </w:rPr>
        <w:t>تأمين</w:t>
      </w:r>
      <w:r w:rsidRPr="0081507C">
        <w:rPr>
          <w:rFonts w:ascii="Ahang DemiBoldSharp" w:hAnsi="Ahang DemiBoldSharp" w:cs="Ahang DemiBoldSharp"/>
          <w:sz w:val="21"/>
          <w:szCs w:val="21"/>
          <w:rtl/>
        </w:rPr>
        <w:t xml:space="preserve"> مي‌كند و در نظام شخصيتي افراد به صورت ملكه‌ي ذهني كنشگر خودنمايي مي‌كند. نظام فرهنگي در عين اينكه استقلال دارد، جزئيتي نسبت به نظام‌ها‌ي ديگر نيز دارد</w:t>
      </w:r>
      <w:r w:rsidRPr="0081507C">
        <w:rPr>
          <w:rFonts w:ascii="Ahang DemiBoldSharp" w:hAnsi="Ahang DemiBoldSharp" w:cs="Ahang DemiBoldSharp"/>
          <w:sz w:val="21"/>
          <w:szCs w:val="21"/>
        </w:rPr>
        <w:t>.</w:t>
      </w:r>
    </w:p>
    <w:p w14:paraId="7C60D1AF"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از</w:t>
      </w:r>
      <w:r w:rsidRPr="0081507C">
        <w:rPr>
          <w:rFonts w:ascii="Ahang DemiBoldSharp" w:hAnsi="Ahang DemiBoldSharp" w:cs="Ahang DemiBoldSharp"/>
          <w:sz w:val="21"/>
          <w:szCs w:val="21"/>
          <w:rtl/>
        </w:rPr>
        <w:t xml:space="preserve"> نظر پارسونز، نظام فرهنگ</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به کنشگران اجتماع</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امکان 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دهد</w:t>
      </w:r>
      <w:r w:rsidRPr="0081507C">
        <w:rPr>
          <w:rFonts w:ascii="Ahang DemiBoldSharp" w:hAnsi="Ahang DemiBoldSharp" w:cs="Ahang DemiBoldSharp"/>
          <w:sz w:val="21"/>
          <w:szCs w:val="21"/>
          <w:rtl/>
        </w:rPr>
        <w:t xml:space="preserve"> که با </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کد</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گر</w:t>
      </w:r>
      <w:r w:rsidRPr="0081507C">
        <w:rPr>
          <w:rFonts w:ascii="Ahang DemiBoldSharp" w:hAnsi="Ahang DemiBoldSharp" w:cs="Ahang DemiBoldSharp"/>
          <w:sz w:val="21"/>
          <w:szCs w:val="21"/>
          <w:rtl/>
        </w:rPr>
        <w:t xml:space="preserve"> ارتباط برقرار کنند و کنش‌هاي خود را هماهنگ سازند. به بيان خود وي، عناصر فرهنگ</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w:t>
      </w:r>
      <w:r w:rsidRPr="0081507C">
        <w:rPr>
          <w:rFonts w:ascii="Ahang DemiBoldSharp" w:hAnsi="Ahang DemiBoldSharp" w:cs="Ahang DemiBoldSharp"/>
          <w:sz w:val="21"/>
          <w:szCs w:val="21"/>
          <w:rtl/>
        </w:rPr>
        <w:t xml:space="preserve"> فرآ</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ند</w:t>
      </w:r>
      <w:r w:rsidRPr="0081507C">
        <w:rPr>
          <w:rFonts w:ascii="Ahang DemiBoldSharp" w:hAnsi="Ahang DemiBoldSharp" w:cs="Ahang DemiBoldSharp"/>
          <w:sz w:val="21"/>
          <w:szCs w:val="21"/>
          <w:rtl/>
        </w:rPr>
        <w:t xml:space="preserve"> ارتباط</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و کنش متقابل ميان افراد را تنظ</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م</w:t>
      </w:r>
      <w:r w:rsidRPr="0081507C">
        <w:rPr>
          <w:rFonts w:ascii="Ahang DemiBoldSharp" w:hAnsi="Ahang DemiBoldSharp" w:cs="Ahang DemiBoldSharp"/>
          <w:sz w:val="21"/>
          <w:szCs w:val="21"/>
          <w:rtl/>
        </w:rPr>
        <w:t xml:space="preserve"> 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کنند</w:t>
      </w:r>
      <w:r w:rsidRPr="0081507C">
        <w:rPr>
          <w:rFonts w:ascii="Ahang DemiBoldSharp" w:hAnsi="Ahang DemiBoldSharp" w:cs="Ahang DemiBoldSharp"/>
          <w:sz w:val="21"/>
          <w:szCs w:val="21"/>
        </w:rPr>
        <w:t xml:space="preserve"> (Parsons, 1951, p. 35).</w:t>
      </w:r>
    </w:p>
    <w:p w14:paraId="295918D7"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فرهنگ</w:t>
      </w:r>
      <w:r w:rsidRPr="0081507C">
        <w:rPr>
          <w:rFonts w:ascii="Ahang DemiBoldSharp" w:hAnsi="Ahang DemiBoldSharp" w:cs="Ahang DemiBoldSharp"/>
          <w:sz w:val="21"/>
          <w:szCs w:val="21"/>
          <w:rtl/>
        </w:rPr>
        <w:t xml:space="preserve"> واسطه و عامل اتصال يا به عبارتي چسبِ بين مجموعه‌ي عناصر، ساختاربند و تنظيم‌كننده‌ي روابط و تعيين‌كننده‌ي جهت‌گيري‌هاست. پارسونز در لايه‌ي فرد و نيز در لايه‌ي جامعه و جمع براي «فرهنگ» در تحركات، تحولات، مناسبات، روابط و موضع‌گيري و جهت‌گيري‌هاي انسان</w:t>
      </w:r>
      <w:r w:rsidRPr="0081507C">
        <w:rPr>
          <w:rFonts w:ascii="Ahang DemiBoldSharp" w:hAnsi="Ahang DemiBoldSharp" w:cs="Ahang DemiBoldSharp" w:hint="eastAsia"/>
          <w:sz w:val="21"/>
          <w:szCs w:val="21"/>
          <w:rtl/>
        </w:rPr>
        <w:t>ي</w:t>
      </w:r>
      <w:r w:rsidRPr="0081507C">
        <w:rPr>
          <w:rFonts w:ascii="Ahang DemiBoldSharp" w:hAnsi="Ahang DemiBoldSharp" w:cs="Ahang DemiBoldSharp"/>
          <w:sz w:val="21"/>
          <w:szCs w:val="21"/>
          <w:rtl/>
        </w:rPr>
        <w:t xml:space="preserve"> و اجتماعي، به شكل بسيار تعيين‌كننده و بلكه مفرطي سهم قائل است</w:t>
      </w:r>
      <w:r w:rsidRPr="0081507C">
        <w:rPr>
          <w:rFonts w:ascii="Ahang DemiBoldSharp" w:hAnsi="Ahang DemiBoldSharp" w:cs="Ahang DemiBoldSharp"/>
          <w:sz w:val="21"/>
          <w:szCs w:val="21"/>
        </w:rPr>
        <w:t>.</w:t>
      </w:r>
    </w:p>
    <w:p w14:paraId="5A1ACA18"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ريترز</w:t>
      </w:r>
      <w:r w:rsidRPr="0081507C">
        <w:rPr>
          <w:rFonts w:ascii="Ahang DemiBoldSharp" w:hAnsi="Ahang DemiBoldSharp" w:cs="Ahang DemiBoldSharp"/>
          <w:sz w:val="21"/>
          <w:szCs w:val="21"/>
          <w:rtl/>
        </w:rPr>
        <w:t xml:space="preserve"> مي‌گويد: «در واقع، فرهنگ از آنجا که بس</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ار</w:t>
      </w:r>
      <w:r w:rsidRPr="0081507C">
        <w:rPr>
          <w:rFonts w:ascii="Ahang DemiBoldSharp" w:hAnsi="Ahang DemiBoldSharp" w:cs="Ahang DemiBoldSharp"/>
          <w:sz w:val="21"/>
          <w:szCs w:val="21"/>
          <w:rtl/>
        </w:rPr>
        <w:t xml:space="preserve"> «نماد</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ن»</w:t>
      </w:r>
      <w:r w:rsidRPr="0081507C">
        <w:rPr>
          <w:rFonts w:ascii="Ahang DemiBoldSharp" w:hAnsi="Ahang DemiBoldSharp" w:cs="Ahang DemiBoldSharp"/>
          <w:sz w:val="21"/>
          <w:szCs w:val="21"/>
          <w:rtl/>
        </w:rPr>
        <w:t xml:space="preserve"> [1] و «ذهن</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w:t>
      </w:r>
      <w:r w:rsidRPr="0081507C">
        <w:rPr>
          <w:rFonts w:ascii="Ahang DemiBoldSharp" w:hAnsi="Ahang DemiBoldSharp" w:cs="Ahang DemiBoldSharp"/>
          <w:sz w:val="21"/>
          <w:szCs w:val="21"/>
          <w:rtl/>
        </w:rPr>
        <w:t xml:space="preserve"> [2] است، به آسان</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از </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ک</w:t>
      </w:r>
      <w:r w:rsidRPr="0081507C">
        <w:rPr>
          <w:rFonts w:ascii="Ahang DemiBoldSharp" w:hAnsi="Ahang DemiBoldSharp" w:cs="Ahang DemiBoldSharp"/>
          <w:sz w:val="21"/>
          <w:szCs w:val="21"/>
          <w:rtl/>
        </w:rPr>
        <w:t xml:space="preserve"> نظام به نظام د</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گر</w:t>
      </w:r>
      <w:r w:rsidRPr="0081507C">
        <w:rPr>
          <w:rFonts w:ascii="Ahang DemiBoldSharp" w:hAnsi="Ahang DemiBoldSharp" w:cs="Ahang DemiBoldSharp"/>
          <w:sz w:val="21"/>
          <w:szCs w:val="21"/>
          <w:rtl/>
        </w:rPr>
        <w:t xml:space="preserve"> انتقال م</w:t>
      </w:r>
      <w:r w:rsidRPr="0081507C">
        <w:rPr>
          <w:rFonts w:ascii="Ahang DemiBoldSharp" w:hAnsi="Ahang DemiBoldSharp" w:cs="Ahang DemiBoldSharp" w:hint="cs"/>
          <w:sz w:val="21"/>
          <w:szCs w:val="21"/>
          <w:rtl/>
        </w:rPr>
        <w:t>ی‌ی</w:t>
      </w:r>
      <w:r w:rsidRPr="0081507C">
        <w:rPr>
          <w:rFonts w:ascii="Ahang DemiBoldSharp" w:hAnsi="Ahang DemiBoldSharp" w:cs="Ahang DemiBoldSharp" w:hint="eastAsia"/>
          <w:sz w:val="21"/>
          <w:szCs w:val="21"/>
          <w:rtl/>
        </w:rPr>
        <w:t>ابد</w:t>
      </w:r>
      <w:r w:rsidRPr="0081507C">
        <w:rPr>
          <w:rFonts w:ascii="Ahang DemiBoldSharp" w:hAnsi="Ahang DemiBoldSharp" w:cs="Ahang DemiBoldSharp"/>
          <w:sz w:val="21"/>
          <w:szCs w:val="21"/>
          <w:rtl/>
        </w:rPr>
        <w:t>. هم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ن</w:t>
      </w:r>
      <w:r w:rsidRPr="0081507C">
        <w:rPr>
          <w:rFonts w:ascii="Ahang DemiBoldSharp" w:hAnsi="Ahang DemiBoldSharp" w:cs="Ahang DemiBoldSharp"/>
          <w:sz w:val="21"/>
          <w:szCs w:val="21"/>
          <w:rtl/>
        </w:rPr>
        <w:t xml:space="preserve"> خاص</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ت</w:t>
      </w:r>
      <w:r w:rsidRPr="0081507C">
        <w:rPr>
          <w:rFonts w:ascii="Ahang DemiBoldSharp" w:hAnsi="Ahang DemiBoldSharp" w:cs="Ahang DemiBoldSharp"/>
          <w:sz w:val="21"/>
          <w:szCs w:val="21"/>
          <w:rtl/>
        </w:rPr>
        <w:t xml:space="preserve"> به فرهنگ اجازه 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دهد</w:t>
      </w:r>
      <w:r w:rsidRPr="0081507C">
        <w:rPr>
          <w:rFonts w:ascii="Ahang DemiBoldSharp" w:hAnsi="Ahang DemiBoldSharp" w:cs="Ahang DemiBoldSharp"/>
          <w:sz w:val="21"/>
          <w:szCs w:val="21"/>
          <w:rtl/>
        </w:rPr>
        <w:t xml:space="preserve"> که از طر</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ق</w:t>
      </w:r>
      <w:r w:rsidRPr="0081507C">
        <w:rPr>
          <w:rFonts w:ascii="Ahang DemiBoldSharp" w:hAnsi="Ahang DemiBoldSharp" w:cs="Ahang DemiBoldSharp"/>
          <w:sz w:val="21"/>
          <w:szCs w:val="21"/>
          <w:rtl/>
        </w:rPr>
        <w:t xml:space="preserve"> «اشاعه» [3] ، از </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ک</w:t>
      </w:r>
      <w:r w:rsidRPr="0081507C">
        <w:rPr>
          <w:rFonts w:ascii="Ahang DemiBoldSharp" w:hAnsi="Ahang DemiBoldSharp" w:cs="Ahang DemiBoldSharp"/>
          <w:sz w:val="21"/>
          <w:szCs w:val="21"/>
          <w:rtl/>
        </w:rPr>
        <w:t xml:space="preserve"> نظام اجتماع</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به نظام اجتماع</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د</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گر</w:t>
      </w:r>
      <w:r w:rsidRPr="0081507C">
        <w:rPr>
          <w:rFonts w:ascii="Ahang DemiBoldSharp" w:hAnsi="Ahang DemiBoldSharp" w:cs="Ahang DemiBoldSharp"/>
          <w:sz w:val="21"/>
          <w:szCs w:val="21"/>
          <w:rtl/>
        </w:rPr>
        <w:t xml:space="preserve"> و از طر</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ق</w:t>
      </w:r>
      <w:r w:rsidRPr="0081507C">
        <w:rPr>
          <w:rFonts w:ascii="Ahang DemiBoldSharp" w:hAnsi="Ahang DemiBoldSharp" w:cs="Ahang DemiBoldSharp"/>
          <w:sz w:val="21"/>
          <w:szCs w:val="21"/>
          <w:rtl/>
        </w:rPr>
        <w:t xml:space="preserve"> «اجتماع</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شدن»</w:t>
      </w:r>
      <w:r w:rsidRPr="0081507C">
        <w:rPr>
          <w:rFonts w:ascii="Ahang DemiBoldSharp" w:hAnsi="Ahang DemiBoldSharp" w:cs="Ahang DemiBoldSharp"/>
          <w:sz w:val="21"/>
          <w:szCs w:val="21"/>
          <w:rtl/>
        </w:rPr>
        <w:t xml:space="preserve"> [4] ، از </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ک</w:t>
      </w:r>
      <w:r w:rsidRPr="0081507C">
        <w:rPr>
          <w:rFonts w:ascii="Ahang DemiBoldSharp" w:hAnsi="Ahang DemiBoldSharp" w:cs="Ahang DemiBoldSharp"/>
          <w:sz w:val="21"/>
          <w:szCs w:val="21"/>
          <w:rtl/>
        </w:rPr>
        <w:t xml:space="preserve"> نظام شخص</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ت</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w:t>
      </w:r>
      <w:r w:rsidRPr="0081507C">
        <w:rPr>
          <w:rFonts w:ascii="Ahang DemiBoldSharp" w:hAnsi="Ahang DemiBoldSharp" w:cs="Ahang DemiBoldSharp"/>
          <w:sz w:val="21"/>
          <w:szCs w:val="21"/>
          <w:rtl/>
        </w:rPr>
        <w:t xml:space="preserve"> به نظام شخص</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ت</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د</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گر</w:t>
      </w:r>
      <w:r w:rsidRPr="0081507C">
        <w:rPr>
          <w:rFonts w:ascii="Ahang DemiBoldSharp" w:hAnsi="Ahang DemiBoldSharp" w:cs="Ahang DemiBoldSharp"/>
          <w:sz w:val="21"/>
          <w:szCs w:val="21"/>
          <w:rtl/>
        </w:rPr>
        <w:t xml:space="preserve"> حرکت کند» (ر</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تزر،</w:t>
      </w:r>
      <w:r w:rsidRPr="0081507C">
        <w:rPr>
          <w:rFonts w:ascii="Ahang DemiBoldSharp" w:hAnsi="Ahang DemiBoldSharp" w:cs="Ahang DemiBoldSharp"/>
          <w:sz w:val="21"/>
          <w:szCs w:val="21"/>
          <w:rtl/>
        </w:rPr>
        <w:t xml:space="preserve"> 1385، ص 139)</w:t>
      </w:r>
      <w:r w:rsidRPr="0081507C">
        <w:rPr>
          <w:rFonts w:ascii="Ahang DemiBoldSharp" w:hAnsi="Ahang DemiBoldSharp" w:cs="Ahang DemiBoldSharp"/>
          <w:sz w:val="21"/>
          <w:szCs w:val="21"/>
        </w:rPr>
        <w:t>.</w:t>
      </w:r>
    </w:p>
    <w:p w14:paraId="50C7DA54"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فرهنگ</w:t>
      </w:r>
      <w:r w:rsidRPr="0081507C">
        <w:rPr>
          <w:rFonts w:ascii="Ahang DemiBoldSharp" w:hAnsi="Ahang DemiBoldSharp" w:cs="Ahang DemiBoldSharp"/>
          <w:sz w:val="21"/>
          <w:szCs w:val="21"/>
          <w:rtl/>
        </w:rPr>
        <w:t xml:space="preserve"> از طر</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ق</w:t>
      </w:r>
      <w:r w:rsidRPr="0081507C">
        <w:rPr>
          <w:rFonts w:ascii="Ahang DemiBoldSharp" w:hAnsi="Ahang DemiBoldSharp" w:cs="Ahang DemiBoldSharp"/>
          <w:sz w:val="21"/>
          <w:szCs w:val="21"/>
          <w:rtl/>
        </w:rPr>
        <w:t xml:space="preserve"> واقع</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ت</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[5] که اصالتاً [از طر</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ق</w:t>
      </w:r>
      <w:r w:rsidRPr="0081507C">
        <w:rPr>
          <w:rFonts w:ascii="Ahang DemiBoldSharp" w:hAnsi="Ahang DemiBoldSharp" w:cs="Ahang DemiBoldSharp"/>
          <w:sz w:val="21"/>
          <w:szCs w:val="21"/>
          <w:rtl/>
        </w:rPr>
        <w:t xml:space="preserve"> </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ادگ</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ر</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[6] و انتشار</w:t>
      </w:r>
      <w:r w:rsidRPr="0081507C">
        <w:rPr>
          <w:rFonts w:ascii="Ahang DemiBoldSharp" w:hAnsi="Ahang DemiBoldSharp" w:cs="Ahang DemiBoldSharp"/>
          <w:sz w:val="21"/>
          <w:szCs w:val="21"/>
        </w:rPr>
        <w:t xml:space="preserve"> [7</w:t>
      </w:r>
      <w:proofErr w:type="gramStart"/>
      <w:r w:rsidRPr="0081507C">
        <w:rPr>
          <w:rFonts w:ascii="Ahang DemiBoldSharp" w:hAnsi="Ahang DemiBoldSharp" w:cs="Ahang DemiBoldSharp"/>
          <w:sz w:val="21"/>
          <w:szCs w:val="21"/>
        </w:rPr>
        <w:t xml:space="preserve">] </w:t>
      </w:r>
      <w:r w:rsidRPr="0081507C">
        <w:rPr>
          <w:rFonts w:ascii="Ahang DemiBoldSharp" w:hAnsi="Ahang DemiBoldSharp" w:cs="Ahang DemiBoldSharp"/>
          <w:sz w:val="21"/>
          <w:szCs w:val="21"/>
          <w:rtl/>
        </w:rPr>
        <w:t>]</w:t>
      </w:r>
      <w:proofErr w:type="gramEnd"/>
      <w:r w:rsidRPr="0081507C">
        <w:rPr>
          <w:rFonts w:ascii="Ahang DemiBoldSharp" w:hAnsi="Ahang DemiBoldSharp" w:cs="Ahang DemiBoldSharp"/>
          <w:sz w:val="21"/>
          <w:szCs w:val="21"/>
          <w:rtl/>
        </w:rPr>
        <w:t xml:space="preserve"> قابل انتقال از </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ک</w:t>
      </w:r>
      <w:r w:rsidRPr="0081507C">
        <w:rPr>
          <w:rFonts w:ascii="Ahang DemiBoldSharp" w:hAnsi="Ahang DemiBoldSharp" w:cs="Ahang DemiBoldSharp"/>
          <w:sz w:val="21"/>
          <w:szCs w:val="21"/>
          <w:rtl/>
        </w:rPr>
        <w:t xml:space="preserve"> نظام کنش [8] به نظام د</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گر</w:t>
      </w:r>
      <w:r w:rsidRPr="0081507C">
        <w:rPr>
          <w:rFonts w:ascii="Ahang DemiBoldSharp" w:hAnsi="Ahang DemiBoldSharp" w:cs="Ahang DemiBoldSharp"/>
          <w:sz w:val="21"/>
          <w:szCs w:val="21"/>
          <w:rtl/>
        </w:rPr>
        <w:t xml:space="preserve"> است از عناصر د</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گرِ</w:t>
      </w:r>
      <w:r w:rsidRPr="0081507C">
        <w:rPr>
          <w:rFonts w:ascii="Ahang DemiBoldSharp" w:hAnsi="Ahang DemiBoldSharp" w:cs="Ahang DemiBoldSharp"/>
          <w:sz w:val="21"/>
          <w:szCs w:val="21"/>
          <w:rtl/>
        </w:rPr>
        <w:t xml:space="preserve"> کنش متمايز 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شود</w:t>
      </w:r>
      <w:r w:rsidRPr="0081507C">
        <w:rPr>
          <w:rFonts w:ascii="Ahang DemiBoldSharp" w:hAnsi="Ahang DemiBoldSharp" w:cs="Ahang DemiBoldSharp" w:hint="eastAsia"/>
          <w:sz w:val="21"/>
          <w:szCs w:val="21"/>
        </w:rPr>
        <w:t>»</w:t>
      </w:r>
      <w:r w:rsidRPr="0081507C">
        <w:rPr>
          <w:rFonts w:ascii="Ahang DemiBoldSharp" w:hAnsi="Ahang DemiBoldSharp" w:cs="Ahang DemiBoldSharp"/>
          <w:sz w:val="21"/>
          <w:szCs w:val="21"/>
        </w:rPr>
        <w:t xml:space="preserve"> (Parsons, 1951, p. 159).</w:t>
      </w:r>
    </w:p>
    <w:p w14:paraId="1E0F99AA"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lastRenderedPageBreak/>
        <w:t> </w:t>
      </w:r>
      <w:r w:rsidRPr="0081507C">
        <w:rPr>
          <w:rFonts w:ascii="Ahang DemiBoldSharp" w:hAnsi="Ahang DemiBoldSharp" w:cs="Ahang DemiBoldSharp" w:hint="eastAsia"/>
          <w:sz w:val="21"/>
          <w:szCs w:val="21"/>
          <w:rtl/>
        </w:rPr>
        <w:t>درواقع،</w:t>
      </w:r>
      <w:r w:rsidRPr="0081507C">
        <w:rPr>
          <w:rFonts w:ascii="Ahang DemiBoldSharp" w:hAnsi="Ahang DemiBoldSharp" w:cs="Ahang DemiBoldSharp"/>
          <w:sz w:val="21"/>
          <w:szCs w:val="21"/>
          <w:rtl/>
        </w:rPr>
        <w:t xml:space="preserve"> فرهنگ همان‌گونه كه از نظامي به نظام ديگر منتقل مي‌شود، از نسلي به نسل ديگر و از جامعه‌اي به جامعه‌ي ديگر نيز منتقل مي‌شود. البته اين انتقال به صورت يادگيري، فراگيري و فرادهي است و در چهارچوب تعليم و تعلم اتفاق مي‌افتد و جنبه‌ي فطري، غريزي و زيستان</w:t>
      </w:r>
      <w:r w:rsidRPr="0081507C">
        <w:rPr>
          <w:rFonts w:ascii="Ahang DemiBoldSharp" w:hAnsi="Ahang DemiBoldSharp" w:cs="Ahang DemiBoldSharp" w:hint="eastAsia"/>
          <w:sz w:val="21"/>
          <w:szCs w:val="21"/>
          <w:rtl/>
        </w:rPr>
        <w:t>ي</w:t>
      </w:r>
      <w:r w:rsidRPr="0081507C">
        <w:rPr>
          <w:rFonts w:ascii="Ahang DemiBoldSharp" w:hAnsi="Ahang DemiBoldSharp" w:cs="Ahang DemiBoldSharp"/>
          <w:sz w:val="21"/>
          <w:szCs w:val="21"/>
          <w:rtl/>
        </w:rPr>
        <w:t xml:space="preserve"> و ژنتيكي ندارد. به عبارتي گرچه از نسلي به نسل ديگر به ارث مي‌رسد، هرگز جنبه‌ي ژنتيكي ندارد</w:t>
      </w:r>
      <w:r w:rsidRPr="0081507C">
        <w:rPr>
          <w:rFonts w:ascii="Ahang DemiBoldSharp" w:hAnsi="Ahang DemiBoldSharp" w:cs="Ahang DemiBoldSharp"/>
          <w:sz w:val="21"/>
          <w:szCs w:val="21"/>
        </w:rPr>
        <w:t>.</w:t>
      </w:r>
    </w:p>
    <w:p w14:paraId="5786DDBB"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افزون</w:t>
      </w:r>
      <w:r w:rsidRPr="0081507C">
        <w:rPr>
          <w:rFonts w:ascii="Ahang DemiBoldSharp" w:hAnsi="Ahang DemiBoldSharp" w:cs="Ahang DemiBoldSharp"/>
          <w:sz w:val="21"/>
          <w:szCs w:val="21"/>
          <w:rtl/>
        </w:rPr>
        <w:t xml:space="preserve"> بر اين، جنبه‌ي نماد</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ن</w:t>
      </w:r>
      <w:r w:rsidRPr="0081507C">
        <w:rPr>
          <w:rFonts w:ascii="Ahang DemiBoldSharp" w:hAnsi="Ahang DemiBoldSharp" w:cs="Ahang DemiBoldSharp"/>
          <w:sz w:val="21"/>
          <w:szCs w:val="21"/>
          <w:rtl/>
        </w:rPr>
        <w:t xml:space="preserve"> و ذهن</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بودن</w:t>
      </w:r>
      <w:r w:rsidRPr="0081507C">
        <w:rPr>
          <w:rFonts w:ascii="Ahang DemiBoldSharp" w:hAnsi="Ahang DemiBoldSharp" w:cs="Ahang DemiBoldSharp"/>
          <w:sz w:val="21"/>
          <w:szCs w:val="21"/>
          <w:rtl/>
        </w:rPr>
        <w:t xml:space="preserve"> فرهنگ، و</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ژگ</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د</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گر</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به آن 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بخشد</w:t>
      </w:r>
      <w:r w:rsidRPr="0081507C">
        <w:rPr>
          <w:rFonts w:ascii="Ahang DemiBoldSharp" w:hAnsi="Ahang DemiBoldSharp" w:cs="Ahang DemiBoldSharp"/>
          <w:sz w:val="21"/>
          <w:szCs w:val="21"/>
          <w:rtl/>
        </w:rPr>
        <w:t xml:space="preserve"> که همان «توانا</w:t>
      </w:r>
      <w:r w:rsidRPr="0081507C">
        <w:rPr>
          <w:rFonts w:ascii="Ahang DemiBoldSharp" w:hAnsi="Ahang DemiBoldSharp" w:cs="Ahang DemiBoldSharp" w:hint="cs"/>
          <w:sz w:val="21"/>
          <w:szCs w:val="21"/>
          <w:rtl/>
        </w:rPr>
        <w:t>یی</w:t>
      </w:r>
      <w:r w:rsidRPr="0081507C">
        <w:rPr>
          <w:rFonts w:ascii="Ahang DemiBoldSharp" w:hAnsi="Ahang DemiBoldSharp" w:cs="Ahang DemiBoldSharp"/>
          <w:sz w:val="21"/>
          <w:szCs w:val="21"/>
          <w:rtl/>
        </w:rPr>
        <w:t xml:space="preserve"> نظارت» [9] بر نظام‌ها</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د</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گرِ</w:t>
      </w:r>
      <w:r w:rsidRPr="0081507C">
        <w:rPr>
          <w:rFonts w:ascii="Ahang DemiBoldSharp" w:hAnsi="Ahang DemiBoldSharp" w:cs="Ahang DemiBoldSharp"/>
          <w:sz w:val="21"/>
          <w:szCs w:val="21"/>
          <w:rtl/>
        </w:rPr>
        <w:t xml:space="preserve"> کنش است. از اين‌رو، بايد گفت در انديشه‌ي وي، نظام فرهنگ</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ک</w:t>
      </w:r>
      <w:r w:rsidRPr="0081507C">
        <w:rPr>
          <w:rFonts w:ascii="Ahang DemiBoldSharp" w:hAnsi="Ahang DemiBoldSharp" w:cs="Ahang DemiBoldSharp"/>
          <w:sz w:val="21"/>
          <w:szCs w:val="21"/>
          <w:rtl/>
        </w:rPr>
        <w:t xml:space="preserve"> «نظام مسلط» است (ر</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تزر،</w:t>
      </w:r>
      <w:r w:rsidRPr="0081507C">
        <w:rPr>
          <w:rFonts w:ascii="Ahang DemiBoldSharp" w:hAnsi="Ahang DemiBoldSharp" w:cs="Ahang DemiBoldSharp"/>
          <w:sz w:val="21"/>
          <w:szCs w:val="21"/>
          <w:rtl/>
        </w:rPr>
        <w:t xml:space="preserve"> 1385، ص 139)</w:t>
      </w:r>
      <w:r w:rsidRPr="0081507C">
        <w:rPr>
          <w:rFonts w:ascii="Ahang DemiBoldSharp" w:hAnsi="Ahang DemiBoldSharp" w:cs="Ahang DemiBoldSharp"/>
          <w:sz w:val="21"/>
          <w:szCs w:val="21"/>
        </w:rPr>
        <w:t>.</w:t>
      </w:r>
    </w:p>
    <w:p w14:paraId="6BF53A01"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فرهنگ</w:t>
      </w:r>
      <w:r w:rsidRPr="0081507C">
        <w:rPr>
          <w:rFonts w:ascii="Ahang DemiBoldSharp" w:hAnsi="Ahang DemiBoldSharp" w:cs="Ahang DemiBoldSharp"/>
          <w:sz w:val="21"/>
          <w:szCs w:val="21"/>
          <w:rtl/>
        </w:rPr>
        <w:t xml:space="preserve"> بر ديگر نظام‌ها مسيطر و مسلط است؛ چون بر ذهن افراد حاكم است و از اين طريق هويت و شخصيت افراد را مي‌سازد و جامعه هم مركب از افراد است</w:t>
      </w:r>
      <w:r w:rsidRPr="0081507C">
        <w:rPr>
          <w:rFonts w:ascii="Ahang DemiBoldSharp" w:hAnsi="Ahang DemiBoldSharp" w:cs="Ahang DemiBoldSharp"/>
          <w:sz w:val="21"/>
          <w:szCs w:val="21"/>
        </w:rPr>
        <w:t>.</w:t>
      </w:r>
    </w:p>
    <w:p w14:paraId="39BF27DB"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پارسونز</w:t>
      </w:r>
      <w:r w:rsidRPr="0081507C">
        <w:rPr>
          <w:rFonts w:ascii="Ahang DemiBoldSharp" w:hAnsi="Ahang DemiBoldSharp" w:cs="Ahang DemiBoldSharp"/>
          <w:sz w:val="21"/>
          <w:szCs w:val="21"/>
          <w:rtl/>
        </w:rPr>
        <w:t xml:space="preserve"> گاهي ادعا مي‌كند كه «شخص» هم در ساخت فرهنگ مؤثر است. در جايي گفته است: «منظور ما ا</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ن</w:t>
      </w:r>
      <w:r w:rsidRPr="0081507C">
        <w:rPr>
          <w:rFonts w:ascii="Ahang DemiBoldSharp" w:hAnsi="Ahang DemiBoldSharp" w:cs="Ahang DemiBoldSharp"/>
          <w:sz w:val="21"/>
          <w:szCs w:val="21"/>
          <w:rtl/>
        </w:rPr>
        <w:t xml:space="preserve"> ن</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ست</w:t>
      </w:r>
      <w:r w:rsidRPr="0081507C">
        <w:rPr>
          <w:rFonts w:ascii="Ahang DemiBoldSharp" w:hAnsi="Ahang DemiBoldSharp" w:cs="Ahang DemiBoldSharp"/>
          <w:sz w:val="21"/>
          <w:szCs w:val="21"/>
          <w:rtl/>
        </w:rPr>
        <w:t xml:space="preserve"> که بگو</w:t>
      </w:r>
      <w:r w:rsidRPr="0081507C">
        <w:rPr>
          <w:rFonts w:ascii="Ahang DemiBoldSharp" w:hAnsi="Ahang DemiBoldSharp" w:cs="Ahang DemiBoldSharp" w:hint="cs"/>
          <w:sz w:val="21"/>
          <w:szCs w:val="21"/>
          <w:rtl/>
        </w:rPr>
        <w:t>یی</w:t>
      </w:r>
      <w:r w:rsidRPr="0081507C">
        <w:rPr>
          <w:rFonts w:ascii="Ahang DemiBoldSharp" w:hAnsi="Ahang DemiBoldSharp" w:cs="Ahang DemiBoldSharp" w:hint="eastAsia"/>
          <w:sz w:val="21"/>
          <w:szCs w:val="21"/>
          <w:rtl/>
        </w:rPr>
        <w:t>م</w:t>
      </w:r>
      <w:r w:rsidRPr="0081507C">
        <w:rPr>
          <w:rFonts w:ascii="Ahang DemiBoldSharp" w:hAnsi="Ahang DemiBoldSharp" w:cs="Ahang DemiBoldSharp"/>
          <w:sz w:val="21"/>
          <w:szCs w:val="21"/>
          <w:rtl/>
        </w:rPr>
        <w:t xml:space="preserve"> ارزش‌ها</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شخص، </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کسره</w:t>
      </w:r>
      <w:r w:rsidRPr="0081507C">
        <w:rPr>
          <w:rFonts w:ascii="Ahang DemiBoldSharp" w:hAnsi="Ahang DemiBoldSharp" w:cs="Ahang DemiBoldSharp"/>
          <w:sz w:val="21"/>
          <w:szCs w:val="21"/>
          <w:rtl/>
        </w:rPr>
        <w:t xml:space="preserve"> از طر</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ق</w:t>
      </w:r>
      <w:r w:rsidRPr="0081507C">
        <w:rPr>
          <w:rFonts w:ascii="Ahang DemiBoldSharp" w:hAnsi="Ahang DemiBoldSharp" w:cs="Ahang DemiBoldSharp"/>
          <w:sz w:val="21"/>
          <w:szCs w:val="21"/>
          <w:rtl/>
        </w:rPr>
        <w:t xml:space="preserve"> فرهنگ، ملكه‌ي ذهن 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شوند</w:t>
      </w:r>
      <w:r w:rsidRPr="0081507C">
        <w:rPr>
          <w:rFonts w:ascii="Ahang DemiBoldSharp" w:hAnsi="Ahang DemiBoldSharp" w:cs="Ahang DemiBoldSharp"/>
          <w:sz w:val="21"/>
          <w:szCs w:val="21"/>
          <w:rtl/>
        </w:rPr>
        <w:t xml:space="preserve"> و </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ا</w:t>
      </w:r>
      <w:r w:rsidRPr="0081507C">
        <w:rPr>
          <w:rFonts w:ascii="Ahang DemiBoldSharp" w:hAnsi="Ahang DemiBoldSharp" w:cs="Ahang DemiBoldSharp"/>
          <w:sz w:val="21"/>
          <w:szCs w:val="21"/>
          <w:rtl/>
        </w:rPr>
        <w:t xml:space="preserve"> هر شخص</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از هر جهت، از قوان</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ن</w:t>
      </w:r>
      <w:r w:rsidRPr="0081507C">
        <w:rPr>
          <w:rFonts w:ascii="Ahang DemiBoldSharp" w:hAnsi="Ahang DemiBoldSharp" w:cs="Ahang DemiBoldSharp"/>
          <w:sz w:val="21"/>
          <w:szCs w:val="21"/>
          <w:rtl/>
        </w:rPr>
        <w:t xml:space="preserve"> و قواعد پ</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رو</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کند،</w:t>
      </w:r>
      <w:r w:rsidRPr="0081507C">
        <w:rPr>
          <w:rFonts w:ascii="Ahang DemiBoldSharp" w:hAnsi="Ahang DemiBoldSharp" w:cs="Ahang DemiBoldSharp"/>
          <w:sz w:val="21"/>
          <w:szCs w:val="21"/>
          <w:rtl/>
        </w:rPr>
        <w:t xml:space="preserve"> بلکه شخص در هنگام ملکه‌ي ذهن کردن فره</w:t>
      </w:r>
      <w:r w:rsidRPr="0081507C">
        <w:rPr>
          <w:rFonts w:ascii="Ahang DemiBoldSharp" w:hAnsi="Ahang DemiBoldSharp" w:cs="Ahang DemiBoldSharp" w:hint="eastAsia"/>
          <w:sz w:val="21"/>
          <w:szCs w:val="21"/>
          <w:rtl/>
        </w:rPr>
        <w:t>نگ،</w:t>
      </w:r>
      <w:r w:rsidRPr="0081507C">
        <w:rPr>
          <w:rFonts w:ascii="Ahang DemiBoldSharp" w:hAnsi="Ahang DemiBoldSharp" w:cs="Ahang DemiBoldSharp"/>
          <w:sz w:val="21"/>
          <w:szCs w:val="21"/>
          <w:rtl/>
        </w:rPr>
        <w:t xml:space="preserve"> تعد</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ل‌ها</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خلّاقانه‌ا</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در آن به عمل 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آورد</w:t>
      </w:r>
      <w:r w:rsidRPr="0081507C">
        <w:rPr>
          <w:rFonts w:ascii="Ahang DemiBoldSharp" w:hAnsi="Ahang DemiBoldSharp" w:cs="Ahang DemiBoldSharp"/>
          <w:sz w:val="21"/>
          <w:szCs w:val="21"/>
          <w:rtl/>
        </w:rPr>
        <w:t xml:space="preserve"> و ا</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ن</w:t>
      </w:r>
      <w:r w:rsidRPr="0081507C">
        <w:rPr>
          <w:rFonts w:ascii="Ahang DemiBoldSharp" w:hAnsi="Ahang DemiBoldSharp" w:cs="Ahang DemiBoldSharp"/>
          <w:sz w:val="21"/>
          <w:szCs w:val="21"/>
          <w:rtl/>
        </w:rPr>
        <w:t xml:space="preserve"> جنبه‌ي بد</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ع،</w:t>
      </w:r>
      <w:r w:rsidRPr="0081507C">
        <w:rPr>
          <w:rFonts w:ascii="Ahang DemiBoldSharp" w:hAnsi="Ahang DemiBoldSharp" w:cs="Ahang DemiBoldSharp"/>
          <w:sz w:val="21"/>
          <w:szCs w:val="21"/>
          <w:rtl/>
        </w:rPr>
        <w:t xml:space="preserve"> جنبه‌ي فرهنگ</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ن</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ست</w:t>
      </w:r>
      <w:r w:rsidRPr="0081507C">
        <w:rPr>
          <w:rFonts w:ascii="Ahang DemiBoldSharp" w:hAnsi="Ahang DemiBoldSharp" w:cs="Ahang DemiBoldSharp" w:hint="eastAsia"/>
          <w:sz w:val="21"/>
          <w:szCs w:val="21"/>
        </w:rPr>
        <w:t>»</w:t>
      </w:r>
      <w:r w:rsidRPr="0081507C">
        <w:rPr>
          <w:rFonts w:ascii="Ahang DemiBoldSharp" w:hAnsi="Ahang DemiBoldSharp" w:cs="Ahang DemiBoldSharp"/>
          <w:sz w:val="21"/>
          <w:szCs w:val="21"/>
        </w:rPr>
        <w:t xml:space="preserve"> (Parsons, 1951, p. 72).</w:t>
      </w:r>
    </w:p>
    <w:p w14:paraId="7568E12F"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اين‌گونه</w:t>
      </w:r>
      <w:r w:rsidRPr="0081507C">
        <w:rPr>
          <w:rFonts w:ascii="Ahang DemiBoldSharp" w:hAnsi="Ahang DemiBoldSharp" w:cs="Ahang DemiBoldSharp"/>
          <w:sz w:val="21"/>
          <w:szCs w:val="21"/>
          <w:rtl/>
        </w:rPr>
        <w:t xml:space="preserve"> نيست كه انسان فقط دريافت مي‌كند و ذهن او يك ظرف است، بلكه اين ظرف به مظروف خود شكل مي‌دهد و بر آن تأثير مي‌گذارد؛ به اين ترتيب انسان، فرهنگ را متأثر مي‌كند و بنابراين، انسان تأثير تعديل‌كننده و خلاقي در تغيير فرهنگ دارد. اما اين ادعاي پارسونز در </w:t>
      </w:r>
      <w:r w:rsidRPr="0081507C">
        <w:rPr>
          <w:rFonts w:ascii="Ahang DemiBoldSharp" w:hAnsi="Ahang DemiBoldSharp" w:cs="Ahang DemiBoldSharp" w:hint="eastAsia"/>
          <w:sz w:val="21"/>
          <w:szCs w:val="21"/>
          <w:rtl/>
        </w:rPr>
        <w:t>هيچ‌جا</w:t>
      </w:r>
      <w:r w:rsidRPr="0081507C">
        <w:rPr>
          <w:rFonts w:ascii="Ahang DemiBoldSharp" w:hAnsi="Ahang DemiBoldSharp" w:cs="Ahang DemiBoldSharp"/>
          <w:sz w:val="21"/>
          <w:szCs w:val="21"/>
          <w:rtl/>
        </w:rPr>
        <w:t xml:space="preserve"> از نظريات او به خوبي تبيين نشده و مدعا و منظر كلان او خلاف اين ادعا را نشان مي‌دهد</w:t>
      </w:r>
      <w:r w:rsidRPr="0081507C">
        <w:rPr>
          <w:rFonts w:ascii="Ahang DemiBoldSharp" w:hAnsi="Ahang DemiBoldSharp" w:cs="Ahang DemiBoldSharp"/>
          <w:sz w:val="21"/>
          <w:szCs w:val="21"/>
        </w:rPr>
        <w:t>.</w:t>
      </w:r>
    </w:p>
    <w:p w14:paraId="5393C61A"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به</w:t>
      </w:r>
      <w:r w:rsidRPr="0081507C">
        <w:rPr>
          <w:rFonts w:ascii="Ahang DemiBoldSharp" w:hAnsi="Ahang DemiBoldSharp" w:cs="Ahang DemiBoldSharp"/>
          <w:sz w:val="21"/>
          <w:szCs w:val="21"/>
          <w:rtl/>
        </w:rPr>
        <w:t xml:space="preserve"> تعب</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ر</w:t>
      </w:r>
      <w:r w:rsidRPr="0081507C">
        <w:rPr>
          <w:rFonts w:ascii="Ahang DemiBoldSharp" w:hAnsi="Ahang DemiBoldSharp" w:cs="Ahang DemiBoldSharp"/>
          <w:sz w:val="21"/>
          <w:szCs w:val="21"/>
          <w:rtl/>
        </w:rPr>
        <w:t xml:space="preserve"> پارسونز، «واحد کنش</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w:t>
      </w:r>
      <w:r w:rsidRPr="0081507C">
        <w:rPr>
          <w:rFonts w:ascii="Ahang DemiBoldSharp" w:hAnsi="Ahang DemiBoldSharp" w:cs="Ahang DemiBoldSharp"/>
          <w:sz w:val="21"/>
          <w:szCs w:val="21"/>
          <w:rtl/>
        </w:rPr>
        <w:t xml:space="preserve"> مشتمل بر چهار جزء </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ا</w:t>
      </w:r>
      <w:r w:rsidRPr="0081507C">
        <w:rPr>
          <w:rFonts w:ascii="Ahang DemiBoldSharp" w:hAnsi="Ahang DemiBoldSharp" w:cs="Ahang DemiBoldSharp"/>
          <w:sz w:val="21"/>
          <w:szCs w:val="21"/>
          <w:rtl/>
        </w:rPr>
        <w:t xml:space="preserve"> بُعد است: نخست ا</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نکه</w:t>
      </w:r>
      <w:r w:rsidRPr="0081507C">
        <w:rPr>
          <w:rFonts w:ascii="Ahang DemiBoldSharp" w:hAnsi="Ahang DemiBoldSharp" w:cs="Ahang DemiBoldSharp"/>
          <w:sz w:val="21"/>
          <w:szCs w:val="21"/>
          <w:rtl/>
        </w:rPr>
        <w:t xml:space="preserve"> نيازمند حضور </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ک</w:t>
      </w:r>
      <w:r w:rsidRPr="0081507C">
        <w:rPr>
          <w:rFonts w:ascii="Ahang DemiBoldSharp" w:hAnsi="Ahang DemiBoldSharp" w:cs="Ahang DemiBoldSharp"/>
          <w:sz w:val="21"/>
          <w:szCs w:val="21"/>
          <w:rtl/>
        </w:rPr>
        <w:t xml:space="preserve"> «کنشگر انسان</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w:t>
      </w:r>
      <w:r w:rsidRPr="0081507C">
        <w:rPr>
          <w:rFonts w:ascii="Ahang DemiBoldSharp" w:hAnsi="Ahang DemiBoldSharp" w:cs="Ahang DemiBoldSharp"/>
          <w:sz w:val="21"/>
          <w:szCs w:val="21"/>
          <w:rtl/>
        </w:rPr>
        <w:t xml:space="preserve"> است؛ دوم ا</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نکه</w:t>
      </w:r>
      <w:r w:rsidRPr="0081507C">
        <w:rPr>
          <w:rFonts w:ascii="Ahang DemiBoldSharp" w:hAnsi="Ahang DemiBoldSharp" w:cs="Ahang DemiBoldSharp"/>
          <w:sz w:val="21"/>
          <w:szCs w:val="21"/>
          <w:rtl/>
        </w:rPr>
        <w:t xml:space="preserve"> با</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د</w:t>
      </w:r>
      <w:r w:rsidRPr="0081507C">
        <w:rPr>
          <w:rFonts w:ascii="Ahang DemiBoldSharp" w:hAnsi="Ahang DemiBoldSharp" w:cs="Ahang DemiBoldSharp"/>
          <w:sz w:val="21"/>
          <w:szCs w:val="21"/>
          <w:rtl/>
        </w:rPr>
        <w:t xml:space="preserve"> </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ک</w:t>
      </w:r>
      <w:r w:rsidRPr="0081507C">
        <w:rPr>
          <w:rFonts w:ascii="Ahang DemiBoldSharp" w:hAnsi="Ahang DemiBoldSharp" w:cs="Ahang DemiBoldSharp"/>
          <w:sz w:val="21"/>
          <w:szCs w:val="21"/>
          <w:rtl/>
        </w:rPr>
        <w:t xml:space="preserve"> «هدف» در 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ان</w:t>
      </w:r>
      <w:r w:rsidRPr="0081507C">
        <w:rPr>
          <w:rFonts w:ascii="Ahang DemiBoldSharp" w:hAnsi="Ahang DemiBoldSharp" w:cs="Ahang DemiBoldSharp"/>
          <w:sz w:val="21"/>
          <w:szCs w:val="21"/>
          <w:rtl/>
        </w:rPr>
        <w:t xml:space="preserve"> باشد تا کنشگر، کنش خود را به سو</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آن جهت‌گ</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ر</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كند؛ سوم ا</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نکه</w:t>
      </w:r>
      <w:r w:rsidRPr="0081507C">
        <w:rPr>
          <w:rFonts w:ascii="Ahang DemiBoldSharp" w:hAnsi="Ahang DemiBoldSharp" w:cs="Ahang DemiBoldSharp"/>
          <w:sz w:val="21"/>
          <w:szCs w:val="21"/>
          <w:rtl/>
        </w:rPr>
        <w:t xml:space="preserve"> سپهر و موقع</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ت</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که کنشگر در درون آن قرار دارد دربرگيرنده</w:t>
      </w:r>
      <w:r w:rsidRPr="0081507C">
        <w:rPr>
          <w:rFonts w:ascii="Ahang DemiBoldSharp" w:hAnsi="Ahang DemiBoldSharp" w:cs="Ahang DemiBoldSharp" w:hint="eastAsia"/>
          <w:sz w:val="21"/>
          <w:szCs w:val="21"/>
          <w:rtl/>
        </w:rPr>
        <w:t>‌ي</w:t>
      </w:r>
      <w:r w:rsidRPr="0081507C">
        <w:rPr>
          <w:rFonts w:ascii="Ahang DemiBoldSharp" w:hAnsi="Ahang DemiBoldSharp" w:cs="Ahang DemiBoldSharp"/>
          <w:sz w:val="21"/>
          <w:szCs w:val="21"/>
          <w:rtl/>
        </w:rPr>
        <w:t xml:space="preserve"> عوامل مهارشدن</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(وسا</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ل</w:t>
      </w:r>
      <w:r w:rsidRPr="0081507C">
        <w:rPr>
          <w:rFonts w:ascii="Ahang DemiBoldSharp" w:hAnsi="Ahang DemiBoldSharp" w:cs="Ahang DemiBoldSharp"/>
          <w:sz w:val="21"/>
          <w:szCs w:val="21"/>
          <w:rtl/>
        </w:rPr>
        <w:t>) و عناصر مهارنشدن</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(شرا</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ط</w:t>
      </w:r>
      <w:r w:rsidRPr="0081507C">
        <w:rPr>
          <w:rFonts w:ascii="Ahang DemiBoldSharp" w:hAnsi="Ahang DemiBoldSharp" w:cs="Ahang DemiBoldSharp"/>
          <w:sz w:val="21"/>
          <w:szCs w:val="21"/>
          <w:rtl/>
        </w:rPr>
        <w:t>) است؛ چهارم ا</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نکه</w:t>
      </w:r>
      <w:r w:rsidRPr="0081507C">
        <w:rPr>
          <w:rFonts w:ascii="Ahang DemiBoldSharp" w:hAnsi="Ahang DemiBoldSharp" w:cs="Ahang DemiBoldSharp"/>
          <w:sz w:val="21"/>
          <w:szCs w:val="21"/>
          <w:rtl/>
        </w:rPr>
        <w:t xml:space="preserve"> کنشگر برا</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انتخاب وسا</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ل</w:t>
      </w:r>
      <w:r w:rsidRPr="0081507C">
        <w:rPr>
          <w:rFonts w:ascii="Ahang DemiBoldSharp" w:hAnsi="Ahang DemiBoldSharp" w:cs="Ahang DemiBoldSharp"/>
          <w:sz w:val="21"/>
          <w:szCs w:val="21"/>
          <w:rtl/>
        </w:rPr>
        <w:t xml:space="preserve"> دست</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اب</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به هدف‌ها، از هنجارها و ارزش‌ها بهره 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گ</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رد</w:t>
      </w:r>
      <w:r w:rsidRPr="0081507C">
        <w:rPr>
          <w:rFonts w:ascii="Ahang DemiBoldSharp" w:hAnsi="Ahang DemiBoldSharp" w:cs="Ahang DemiBoldSharp"/>
          <w:sz w:val="21"/>
          <w:szCs w:val="21"/>
          <w:rtl/>
        </w:rPr>
        <w:t xml:space="preserve"> [10] (پارسونز، 1937). و</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در ادامه تا بدان‌جا پ</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ش</w:t>
      </w:r>
      <w:r w:rsidRPr="0081507C">
        <w:rPr>
          <w:rFonts w:ascii="Ahang DemiBoldSharp" w:hAnsi="Ahang DemiBoldSharp" w:cs="Ahang DemiBoldSharp"/>
          <w:sz w:val="21"/>
          <w:szCs w:val="21"/>
          <w:rtl/>
        </w:rPr>
        <w:t xml:space="preserve"> رفت که مدع</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شد: «کنش چ</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ز</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جز تلاش کنشگر در راستا</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انطباق با ه</w:t>
      </w:r>
      <w:r w:rsidRPr="0081507C">
        <w:rPr>
          <w:rFonts w:ascii="Ahang DemiBoldSharp" w:hAnsi="Ahang DemiBoldSharp" w:cs="Ahang DemiBoldSharp" w:hint="eastAsia"/>
          <w:sz w:val="21"/>
          <w:szCs w:val="21"/>
          <w:rtl/>
        </w:rPr>
        <w:t>نجارها</w:t>
      </w:r>
      <w:r w:rsidRPr="0081507C">
        <w:rPr>
          <w:rFonts w:ascii="Ahang DemiBoldSharp" w:hAnsi="Ahang DemiBoldSharp" w:cs="Ahang DemiBoldSharp"/>
          <w:sz w:val="21"/>
          <w:szCs w:val="21"/>
          <w:rtl/>
        </w:rPr>
        <w:t xml:space="preserve"> ن</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ست»</w:t>
      </w:r>
      <w:r w:rsidRPr="0081507C">
        <w:rPr>
          <w:rFonts w:ascii="Ahang DemiBoldSharp" w:hAnsi="Ahang DemiBoldSharp" w:cs="Ahang DemiBoldSharp"/>
          <w:sz w:val="21"/>
          <w:szCs w:val="21"/>
          <w:rtl/>
        </w:rPr>
        <w:t xml:space="preserve"> (پارسونز، 1937، صص 77-76)</w:t>
      </w:r>
      <w:r w:rsidRPr="0081507C">
        <w:rPr>
          <w:rFonts w:ascii="Ahang DemiBoldSharp" w:hAnsi="Ahang DemiBoldSharp" w:cs="Ahang DemiBoldSharp"/>
          <w:sz w:val="21"/>
          <w:szCs w:val="21"/>
        </w:rPr>
        <w:t>.</w:t>
      </w:r>
    </w:p>
    <w:p w14:paraId="6723C15D"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بعدها</w:t>
      </w:r>
      <w:r w:rsidRPr="0081507C">
        <w:rPr>
          <w:rFonts w:ascii="Ahang DemiBoldSharp" w:hAnsi="Ahang DemiBoldSharp" w:cs="Ahang DemiBoldSharp"/>
          <w:sz w:val="21"/>
          <w:szCs w:val="21"/>
          <w:rtl/>
        </w:rPr>
        <w:t xml:space="preserve"> پارسونز بُعد چهارم را، كه همان عامل فرهنگ است، بر ديگر ابعاد غلبه داد</w:t>
      </w:r>
      <w:r w:rsidRPr="0081507C">
        <w:rPr>
          <w:rFonts w:ascii="Ahang DemiBoldSharp" w:hAnsi="Ahang DemiBoldSharp" w:cs="Ahang DemiBoldSharp"/>
          <w:sz w:val="21"/>
          <w:szCs w:val="21"/>
        </w:rPr>
        <w:t>.</w:t>
      </w:r>
    </w:p>
    <w:p w14:paraId="61BDF888"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p>
    <w:p w14:paraId="4FF45AE3"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تعريف</w:t>
      </w:r>
      <w:r w:rsidRPr="0081507C">
        <w:rPr>
          <w:rFonts w:ascii="Ahang DemiBoldSharp" w:hAnsi="Ahang DemiBoldSharp" w:cs="Ahang DemiBoldSharp"/>
          <w:sz w:val="21"/>
          <w:szCs w:val="21"/>
          <w:rtl/>
        </w:rPr>
        <w:t xml:space="preserve"> پارسونز از فرهنگ</w:t>
      </w:r>
    </w:p>
    <w:p w14:paraId="6C4F9C5D"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پارسونز</w:t>
      </w:r>
      <w:r w:rsidRPr="0081507C">
        <w:rPr>
          <w:rFonts w:ascii="Ahang DemiBoldSharp" w:hAnsi="Ahang DemiBoldSharp" w:cs="Ahang DemiBoldSharp"/>
          <w:sz w:val="21"/>
          <w:szCs w:val="21"/>
          <w:rtl/>
        </w:rPr>
        <w:t xml:space="preserve"> در جايي گفته است: «فرهنگ عبارت است از آن الگوها</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[11] مربوط به رفتار [12] و نتا</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ج</w:t>
      </w:r>
      <w:r w:rsidRPr="0081507C">
        <w:rPr>
          <w:rFonts w:ascii="Ahang DemiBoldSharp" w:hAnsi="Ahang DemiBoldSharp" w:cs="Ahang DemiBoldSharp"/>
          <w:sz w:val="21"/>
          <w:szCs w:val="21"/>
          <w:rtl/>
        </w:rPr>
        <w:t xml:space="preserve"> کنش انسان [13] که ممکن است به ارث رسيده باشد، [اما] به عبارت دق</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ق‌تر،</w:t>
      </w:r>
      <w:r w:rsidRPr="0081507C">
        <w:rPr>
          <w:rFonts w:ascii="Ahang DemiBoldSharp" w:hAnsi="Ahang DemiBoldSharp" w:cs="Ahang DemiBoldSharp"/>
          <w:sz w:val="21"/>
          <w:szCs w:val="21"/>
          <w:rtl/>
        </w:rPr>
        <w:t xml:space="preserve"> مستقل از ژن‌ها</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ز</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ست</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w:t>
      </w:r>
      <w:r w:rsidRPr="0081507C">
        <w:rPr>
          <w:rFonts w:ascii="Ahang DemiBoldSharp" w:hAnsi="Ahang DemiBoldSharp" w:cs="Ahang DemiBoldSharp"/>
          <w:sz w:val="21"/>
          <w:szCs w:val="21"/>
          <w:rtl/>
        </w:rPr>
        <w:t xml:space="preserve"> از نسل</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به نسل د</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گر</w:t>
      </w:r>
      <w:r w:rsidRPr="0081507C">
        <w:rPr>
          <w:rFonts w:ascii="Ahang DemiBoldSharp" w:hAnsi="Ahang DemiBoldSharp" w:cs="Ahang DemiBoldSharp"/>
          <w:sz w:val="21"/>
          <w:szCs w:val="21"/>
          <w:rtl/>
        </w:rPr>
        <w:t xml:space="preserve"> منتقل ‌شود</w:t>
      </w:r>
      <w:r w:rsidRPr="0081507C">
        <w:rPr>
          <w:rFonts w:ascii="Ahang DemiBoldSharp" w:hAnsi="Ahang DemiBoldSharp" w:cs="Ahang DemiBoldSharp"/>
          <w:sz w:val="21"/>
          <w:szCs w:val="21"/>
        </w:rPr>
        <w:t>» (Parsons, 1949, p.8).</w:t>
      </w:r>
    </w:p>
    <w:p w14:paraId="452E9D30"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از</w:t>
      </w:r>
      <w:r w:rsidRPr="0081507C">
        <w:rPr>
          <w:rFonts w:ascii="Ahang DemiBoldSharp" w:hAnsi="Ahang DemiBoldSharp" w:cs="Ahang DemiBoldSharp"/>
          <w:sz w:val="21"/>
          <w:szCs w:val="21"/>
          <w:rtl/>
        </w:rPr>
        <w:t xml:space="preserve"> نظر اين انديشمند فرهنگ عبارت است از الگوهاي مربوط به رفتار و صورت‌بند آن، و واكنش‌هاي انسان در موقعيت‌هاي گوناگون. اين الگوها ممكن است به صورت ميراث از نسلي به نسل ديگر منتقل شود،‌ اما اين انتقال، انتقال ژنتيكي و وراثتي نيست؛ چون فرهنگ وجه غريزي و فطري ندارد و از رهگذر آموزش، ترويج و تماس منتقل مي‌شود</w:t>
      </w:r>
      <w:r w:rsidRPr="0081507C">
        <w:rPr>
          <w:rFonts w:ascii="Ahang DemiBoldSharp" w:hAnsi="Ahang DemiBoldSharp" w:cs="Ahang DemiBoldSharp"/>
          <w:sz w:val="21"/>
          <w:szCs w:val="21"/>
        </w:rPr>
        <w:t>.</w:t>
      </w:r>
    </w:p>
    <w:p w14:paraId="28510897"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او</w:t>
      </w:r>
      <w:r w:rsidRPr="0081507C">
        <w:rPr>
          <w:rFonts w:ascii="Ahang DemiBoldSharp" w:hAnsi="Ahang DemiBoldSharp" w:cs="Ahang DemiBoldSharp"/>
          <w:sz w:val="21"/>
          <w:szCs w:val="21"/>
          <w:rtl/>
        </w:rPr>
        <w:t xml:space="preserve"> در تعبير ديگري بيان كرده است: فرهنگ عبارت است از «</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ک</w:t>
      </w:r>
      <w:r w:rsidRPr="0081507C">
        <w:rPr>
          <w:rFonts w:ascii="Ahang DemiBoldSharp" w:hAnsi="Ahang DemiBoldSharp" w:cs="Ahang DemiBoldSharp"/>
          <w:sz w:val="21"/>
          <w:szCs w:val="21"/>
          <w:rtl/>
        </w:rPr>
        <w:t xml:space="preserve"> ساختار نماد</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ن</w:t>
      </w:r>
      <w:r w:rsidRPr="0081507C">
        <w:rPr>
          <w:rFonts w:ascii="Ahang DemiBoldSharp" w:hAnsi="Ahang DemiBoldSharp" w:cs="Ahang DemiBoldSharp"/>
          <w:sz w:val="21"/>
          <w:szCs w:val="21"/>
          <w:rtl/>
        </w:rPr>
        <w:t xml:space="preserve"> ب</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رون</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پ</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چ</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ده</w:t>
      </w:r>
      <w:r w:rsidRPr="0081507C">
        <w:rPr>
          <w:rFonts w:ascii="Ahang DemiBoldSharp" w:hAnsi="Ahang DemiBoldSharp" w:cs="Ahang DemiBoldSharp"/>
          <w:sz w:val="21"/>
          <w:szCs w:val="21"/>
          <w:rtl/>
        </w:rPr>
        <w:t xml:space="preserve"> [14] […که] 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تواند</w:t>
      </w:r>
      <w:r w:rsidRPr="0081507C">
        <w:rPr>
          <w:rFonts w:ascii="Ahang DemiBoldSharp" w:hAnsi="Ahang DemiBoldSharp" w:cs="Ahang DemiBoldSharp"/>
          <w:sz w:val="21"/>
          <w:szCs w:val="21"/>
          <w:rtl/>
        </w:rPr>
        <w:t xml:space="preserve"> تقر</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باً</w:t>
      </w:r>
      <w:r w:rsidRPr="0081507C">
        <w:rPr>
          <w:rFonts w:ascii="Ahang DemiBoldSharp" w:hAnsi="Ahang DemiBoldSharp" w:cs="Ahang DemiBoldSharp"/>
          <w:sz w:val="21"/>
          <w:szCs w:val="21"/>
          <w:rtl/>
        </w:rPr>
        <w:t xml:space="preserve"> نوع واحدي از گرا</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ش</w:t>
      </w:r>
      <w:r w:rsidRPr="0081507C">
        <w:rPr>
          <w:rFonts w:ascii="Ahang DemiBoldSharp" w:hAnsi="Ahang DemiBoldSharp" w:cs="Ahang DemiBoldSharp"/>
          <w:sz w:val="21"/>
          <w:szCs w:val="21"/>
          <w:rtl/>
        </w:rPr>
        <w:t xml:space="preserve"> [15] را در همه‌ي كنشگراني [16] به وجود آورد كه برحسب اتفاق، خود را با آن وفق 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دهند</w:t>
      </w:r>
      <w:r w:rsidRPr="0081507C">
        <w:rPr>
          <w:rFonts w:ascii="Ahang DemiBoldSharp" w:hAnsi="Ahang DemiBoldSharp" w:cs="Ahang DemiBoldSharp" w:hint="eastAsia"/>
          <w:sz w:val="21"/>
          <w:szCs w:val="21"/>
        </w:rPr>
        <w:t>»</w:t>
      </w:r>
      <w:r w:rsidRPr="0081507C">
        <w:rPr>
          <w:rFonts w:ascii="Ahang DemiBoldSharp" w:hAnsi="Ahang DemiBoldSharp" w:cs="Ahang DemiBoldSharp"/>
          <w:sz w:val="21"/>
          <w:szCs w:val="21"/>
        </w:rPr>
        <w:t xml:space="preserve"> (Parsons, 1951, p.160).</w:t>
      </w:r>
    </w:p>
    <w:p w14:paraId="47C34DA4"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lastRenderedPageBreak/>
        <w:t> </w:t>
      </w:r>
      <w:r w:rsidRPr="0081507C">
        <w:rPr>
          <w:rFonts w:ascii="Ahang DemiBoldSharp" w:hAnsi="Ahang DemiBoldSharp" w:cs="Ahang DemiBoldSharp" w:hint="eastAsia"/>
          <w:sz w:val="21"/>
          <w:szCs w:val="21"/>
          <w:rtl/>
        </w:rPr>
        <w:t>فرهنگ</w:t>
      </w:r>
      <w:r w:rsidRPr="0081507C">
        <w:rPr>
          <w:rFonts w:ascii="Ahang DemiBoldSharp" w:hAnsi="Ahang DemiBoldSharp" w:cs="Ahang DemiBoldSharp"/>
          <w:sz w:val="21"/>
          <w:szCs w:val="21"/>
          <w:rtl/>
        </w:rPr>
        <w:t xml:space="preserve"> يك ساختار نمادين و بسيار پيچيده و تودرتو است كه كنش افراد يك جامعه را كه در بستر يك فرهنگ تنفس مي‌كنند تحت تأثير قرار مي‌دهد، به اين اعتبار كه به آنها گرايش و بينش القا مي‌كند</w:t>
      </w:r>
      <w:r w:rsidRPr="0081507C">
        <w:rPr>
          <w:rFonts w:ascii="Ahang DemiBoldSharp" w:hAnsi="Ahang DemiBoldSharp" w:cs="Ahang DemiBoldSharp"/>
          <w:sz w:val="21"/>
          <w:szCs w:val="21"/>
        </w:rPr>
        <w:t>.</w:t>
      </w:r>
    </w:p>
    <w:p w14:paraId="2A865CAE"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پارسونز</w:t>
      </w:r>
      <w:r w:rsidRPr="0081507C">
        <w:rPr>
          <w:rFonts w:ascii="Ahang DemiBoldSharp" w:hAnsi="Ahang DemiBoldSharp" w:cs="Ahang DemiBoldSharp"/>
          <w:sz w:val="21"/>
          <w:szCs w:val="21"/>
          <w:rtl/>
        </w:rPr>
        <w:t xml:space="preserve"> در جاي ديگري گفته است: «فرهنگ، نظام‌هاي منظم يا الگومند نمادها و عناصر دروني‌شده‌ي شخصيت افراد كنشگر و الگوهاي نهادمند نظام اجتماعي است</w:t>
      </w:r>
      <w:r w:rsidRPr="0081507C">
        <w:rPr>
          <w:rFonts w:ascii="Ahang DemiBoldSharp" w:hAnsi="Ahang DemiBoldSharp" w:cs="Ahang DemiBoldSharp"/>
          <w:sz w:val="21"/>
          <w:szCs w:val="21"/>
        </w:rPr>
        <w:t>».</w:t>
      </w:r>
    </w:p>
    <w:p w14:paraId="7F9E395A"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درواقع</w:t>
      </w:r>
      <w:r w:rsidRPr="0081507C">
        <w:rPr>
          <w:rFonts w:ascii="Ahang DemiBoldSharp" w:hAnsi="Ahang DemiBoldSharp" w:cs="Ahang DemiBoldSharp"/>
          <w:sz w:val="21"/>
          <w:szCs w:val="21"/>
          <w:rtl/>
        </w:rPr>
        <w:t xml:space="preserve"> فرهنگ، نظام منظم يا الگومند نمادهاست كه در انسان‌ها دروني شده و به ضمير آنها راه يافته است. مي‌توان گفت اين نظام‌ها به صورت شبه‌غيرارادي به انسان‌ها جهت مي‌دهد و آنها را هدايت مي‌كند و در كنش و واكنش‌هايشان مداخله مي‌نمايد</w:t>
      </w:r>
      <w:r w:rsidRPr="0081507C">
        <w:rPr>
          <w:rFonts w:ascii="Ahang DemiBoldSharp" w:hAnsi="Ahang DemiBoldSharp" w:cs="Ahang DemiBoldSharp"/>
          <w:sz w:val="21"/>
          <w:szCs w:val="21"/>
        </w:rPr>
        <w:t>.</w:t>
      </w:r>
    </w:p>
    <w:p w14:paraId="740B3019"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p>
    <w:p w14:paraId="6C411967"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تجزيه</w:t>
      </w:r>
      <w:r w:rsidRPr="0081507C">
        <w:rPr>
          <w:rFonts w:ascii="Ahang DemiBoldSharp" w:hAnsi="Ahang DemiBoldSharp" w:cs="Ahang DemiBoldSharp"/>
          <w:sz w:val="21"/>
          <w:szCs w:val="21"/>
          <w:rtl/>
        </w:rPr>
        <w:t xml:space="preserve"> و تحليل نظر پارسونز</w:t>
      </w:r>
    </w:p>
    <w:p w14:paraId="18787B08"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از</w:t>
      </w:r>
      <w:r w:rsidRPr="0081507C">
        <w:rPr>
          <w:rFonts w:ascii="Ahang DemiBoldSharp" w:hAnsi="Ahang DemiBoldSharp" w:cs="Ahang DemiBoldSharp"/>
          <w:sz w:val="21"/>
          <w:szCs w:val="21"/>
          <w:rtl/>
        </w:rPr>
        <w:t xml:space="preserve"> مجموعه‌ي مطالبي كه با عنوان نظريه‌ي فرهنگ پارسونز مطرح شد مي‌توان اين نكات را مطرح كرد</w:t>
      </w:r>
      <w:r w:rsidRPr="0081507C">
        <w:rPr>
          <w:rFonts w:ascii="Ahang DemiBoldSharp" w:hAnsi="Ahang DemiBoldSharp" w:cs="Ahang DemiBoldSharp"/>
          <w:sz w:val="21"/>
          <w:szCs w:val="21"/>
        </w:rPr>
        <w:t>:</w:t>
      </w:r>
    </w:p>
    <w:p w14:paraId="6114AA0F"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فرهنگ</w:t>
      </w:r>
      <w:r w:rsidRPr="0081507C">
        <w:rPr>
          <w:rFonts w:ascii="Ahang DemiBoldSharp" w:hAnsi="Ahang DemiBoldSharp" w:cs="Ahang DemiBoldSharp"/>
          <w:sz w:val="21"/>
          <w:szCs w:val="21"/>
          <w:rtl/>
        </w:rPr>
        <w:t xml:space="preserve"> مجموعه‌ي الگوهاي رفتاري است؛ يعني فرهنگ الگو، قالب و كالبدي كه بر كنش انسان سايه مي‌افكند تلقي مي‌شود. فرهنگ مثل محيط و فضاي تنفس است كه دربرگيرنده‌ي كنش، منش، رفتار و فعل آدمي است و تفكر او را هم تحت تأثير قرار مي‌دهد. پارسونز در تعريف دوم خود، صفا</w:t>
      </w:r>
      <w:r w:rsidRPr="0081507C">
        <w:rPr>
          <w:rFonts w:ascii="Ahang DemiBoldSharp" w:hAnsi="Ahang DemiBoldSharp" w:cs="Ahang DemiBoldSharp" w:hint="eastAsia"/>
          <w:sz w:val="21"/>
          <w:szCs w:val="21"/>
          <w:rtl/>
        </w:rPr>
        <w:t>تي</w:t>
      </w:r>
      <w:r w:rsidRPr="0081507C">
        <w:rPr>
          <w:rFonts w:ascii="Ahang DemiBoldSharp" w:hAnsi="Ahang DemiBoldSharp" w:cs="Ahang DemiBoldSharp"/>
          <w:sz w:val="21"/>
          <w:szCs w:val="21"/>
          <w:rtl/>
        </w:rPr>
        <w:t xml:space="preserve"> مانند ساختاري‌بودن، نمادي‌بودن، بيروني‌بودن، پيچيده‌بودن و شكل‌دهنده‌بودن به هويت كنشگرها را ويژگي‌هاي فرهنگ معرفي كرده است</w:t>
      </w:r>
      <w:r w:rsidRPr="0081507C">
        <w:rPr>
          <w:rFonts w:ascii="Ahang DemiBoldSharp" w:hAnsi="Ahang DemiBoldSharp" w:cs="Ahang DemiBoldSharp"/>
          <w:sz w:val="21"/>
          <w:szCs w:val="21"/>
        </w:rPr>
        <w:t>.</w:t>
      </w:r>
    </w:p>
    <w:p w14:paraId="70CCFE94"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از</w:t>
      </w:r>
      <w:r w:rsidRPr="0081507C">
        <w:rPr>
          <w:rFonts w:ascii="Ahang DemiBoldSharp" w:hAnsi="Ahang DemiBoldSharp" w:cs="Ahang DemiBoldSharp"/>
          <w:sz w:val="21"/>
          <w:szCs w:val="21"/>
          <w:rtl/>
        </w:rPr>
        <w:t xml:space="preserve"> نظر پارسونز فرهنگ از سنخ فعل و رفتار است نه از جنس انديشه، و از گونه‌ي ارزش است نه دانش و بينش. البته كسان ديگري نيز هستند كه به فرهنگ چنين نگرشي دارند، ولي اين نگرش در مقايسه با نگرشي كه به فرهنگ وجه بينشي، دانشي و دروني بيشتري مي‌دهد در اقليت قرار دا</w:t>
      </w:r>
      <w:r w:rsidRPr="0081507C">
        <w:rPr>
          <w:rFonts w:ascii="Ahang DemiBoldSharp" w:hAnsi="Ahang DemiBoldSharp" w:cs="Ahang DemiBoldSharp" w:hint="eastAsia"/>
          <w:sz w:val="21"/>
          <w:szCs w:val="21"/>
          <w:rtl/>
        </w:rPr>
        <w:t>رد</w:t>
      </w:r>
      <w:r w:rsidRPr="0081507C">
        <w:rPr>
          <w:rFonts w:ascii="Ahang DemiBoldSharp" w:hAnsi="Ahang DemiBoldSharp" w:cs="Ahang DemiBoldSharp"/>
          <w:sz w:val="21"/>
          <w:szCs w:val="21"/>
          <w:rtl/>
        </w:rPr>
        <w:t>. در تلقي پارسونز، وجه سخت‌افزاري فرهنگ كه متوجه رفتار است، برجسته‌تر است؛ هرچند او اين وجه را آن‌چنان تصوير مي‌كند كه ملكه‌ي انسان مي‌شود و هويت آدمي را مي‌سازد</w:t>
      </w:r>
      <w:r w:rsidRPr="0081507C">
        <w:rPr>
          <w:rFonts w:ascii="Ahang DemiBoldSharp" w:hAnsi="Ahang DemiBoldSharp" w:cs="Ahang DemiBoldSharp"/>
          <w:sz w:val="21"/>
          <w:szCs w:val="21"/>
        </w:rPr>
        <w:t>.</w:t>
      </w:r>
    </w:p>
    <w:p w14:paraId="034F5AA5"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فرهنگ</w:t>
      </w:r>
      <w:r w:rsidRPr="0081507C">
        <w:rPr>
          <w:rFonts w:ascii="Ahang DemiBoldSharp" w:hAnsi="Ahang DemiBoldSharp" w:cs="Ahang DemiBoldSharp"/>
          <w:sz w:val="21"/>
          <w:szCs w:val="21"/>
          <w:rtl/>
        </w:rPr>
        <w:t xml:space="preserve"> از رهگذر يادگيري و انتشار انتقال مي‌يابد و هرگز جنبه و منشأ طبيعي و غريزي ندارد. (البته اين ديدگاه طرفداران بسياري دارد). فرهنگ تقريباً مي‌تواند نوع واحدي از جهت‌گيري را در همه‌ي كنشگراني كه در بستر يك فرهنگ زندگي مي‌كنند ايجاد كند. درواقع فرهنگ به </w:t>
      </w:r>
      <w:r w:rsidRPr="0081507C">
        <w:rPr>
          <w:rFonts w:ascii="Ahang DemiBoldSharp" w:hAnsi="Ahang DemiBoldSharp" w:cs="Ahang DemiBoldSharp" w:hint="eastAsia"/>
          <w:sz w:val="21"/>
          <w:szCs w:val="21"/>
          <w:rtl/>
        </w:rPr>
        <w:t>رفتار</w:t>
      </w:r>
      <w:r w:rsidRPr="0081507C">
        <w:rPr>
          <w:rFonts w:ascii="Ahang DemiBoldSharp" w:hAnsi="Ahang DemiBoldSharp" w:cs="Ahang DemiBoldSharp"/>
          <w:sz w:val="21"/>
          <w:szCs w:val="21"/>
          <w:rtl/>
        </w:rPr>
        <w:t xml:space="preserve"> مجموعه‌ي افرادي كه يك جامعه را شكل مي‌دهند جهت مي‌دهد</w:t>
      </w:r>
      <w:r w:rsidRPr="0081507C">
        <w:rPr>
          <w:rFonts w:ascii="Ahang DemiBoldSharp" w:hAnsi="Ahang DemiBoldSharp" w:cs="Ahang DemiBoldSharp"/>
          <w:sz w:val="21"/>
          <w:szCs w:val="21"/>
        </w:rPr>
        <w:t>.</w:t>
      </w:r>
    </w:p>
    <w:p w14:paraId="16552E8E"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با</w:t>
      </w:r>
      <w:r w:rsidRPr="0081507C">
        <w:rPr>
          <w:rFonts w:ascii="Ahang DemiBoldSharp" w:hAnsi="Ahang DemiBoldSharp" w:cs="Ahang DemiBoldSharp"/>
          <w:sz w:val="21"/>
          <w:szCs w:val="21"/>
          <w:rtl/>
        </w:rPr>
        <w:t xml:space="preserve"> توجه به نظريه‌ي «اراده‌گرايانه‌ي» كنش پارسونز، كه در برابر رفتارگرايي مطرح شده، درواقع فرهنگ است كه تأثير تعيين‌كننده و اصلي را در ايجاد و حفظ نظم اجتماعي دارد. نظم اجتماعي در رهن ارزش‌هاي فرهنگي است كه يك جامعه آن را پذيرفته است؛ زيرا فرهنگ بر درون و </w:t>
      </w:r>
      <w:r w:rsidRPr="0081507C">
        <w:rPr>
          <w:rFonts w:ascii="Ahang DemiBoldSharp" w:hAnsi="Ahang DemiBoldSharp" w:cs="Ahang DemiBoldSharp" w:hint="eastAsia"/>
          <w:sz w:val="21"/>
          <w:szCs w:val="21"/>
          <w:rtl/>
        </w:rPr>
        <w:t>ذهن</w:t>
      </w:r>
      <w:r w:rsidRPr="0081507C">
        <w:rPr>
          <w:rFonts w:ascii="Ahang DemiBoldSharp" w:hAnsi="Ahang DemiBoldSharp" w:cs="Ahang DemiBoldSharp"/>
          <w:sz w:val="21"/>
          <w:szCs w:val="21"/>
          <w:rtl/>
        </w:rPr>
        <w:t xml:space="preserve"> آدمي حاكم است</w:t>
      </w:r>
      <w:r w:rsidRPr="0081507C">
        <w:rPr>
          <w:rFonts w:ascii="Ahang DemiBoldSharp" w:hAnsi="Ahang DemiBoldSharp" w:cs="Ahang DemiBoldSharp"/>
          <w:sz w:val="21"/>
          <w:szCs w:val="21"/>
        </w:rPr>
        <w:t>.</w:t>
      </w:r>
    </w:p>
    <w:p w14:paraId="5CE7C36C"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ارزش‌ها</w:t>
      </w:r>
      <w:r w:rsidRPr="0081507C">
        <w:rPr>
          <w:rFonts w:ascii="Ahang DemiBoldSharp" w:hAnsi="Ahang DemiBoldSharp" w:cs="Ahang DemiBoldSharp"/>
          <w:sz w:val="21"/>
          <w:szCs w:val="21"/>
          <w:rtl/>
        </w:rPr>
        <w:t xml:space="preserve"> و هنجارهاي پذيرفته‌شده‌ي يك جامعه، كه فرهنگ آن جامعه قلمداد مي‌شود، درواقع به صورت دروني‌شده به عامل و علتي شبيه به «اراده» يا يك عامل درون‌خيز و درون‌جوش تبديل مي‌شوند كه از درون و به صورت شبه‌غيرارادي، آدمي را به اين‌سو و آن‌سو مي‌برد و تصميم‌ها</w:t>
      </w:r>
      <w:r w:rsidRPr="0081507C">
        <w:rPr>
          <w:rFonts w:ascii="Ahang DemiBoldSharp" w:hAnsi="Ahang DemiBoldSharp" w:cs="Ahang DemiBoldSharp" w:hint="eastAsia"/>
          <w:sz w:val="21"/>
          <w:szCs w:val="21"/>
          <w:rtl/>
        </w:rPr>
        <w:t>،</w:t>
      </w:r>
      <w:r w:rsidRPr="0081507C">
        <w:rPr>
          <w:rFonts w:ascii="Ahang DemiBoldSharp" w:hAnsi="Ahang DemiBoldSharp" w:cs="Ahang DemiBoldSharp"/>
          <w:sz w:val="21"/>
          <w:szCs w:val="21"/>
          <w:rtl/>
        </w:rPr>
        <w:t xml:space="preserve"> فعاليت‌ها و كنش‌هاي او را هدايت مي‌كند و جهت مي‌دهد</w:t>
      </w:r>
      <w:r w:rsidRPr="0081507C">
        <w:rPr>
          <w:rFonts w:ascii="Ahang DemiBoldSharp" w:hAnsi="Ahang DemiBoldSharp" w:cs="Ahang DemiBoldSharp"/>
          <w:sz w:val="21"/>
          <w:szCs w:val="21"/>
        </w:rPr>
        <w:t>.</w:t>
      </w:r>
    </w:p>
    <w:p w14:paraId="4240DBCD"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گفته</w:t>
      </w:r>
      <w:r w:rsidRPr="0081507C">
        <w:rPr>
          <w:rFonts w:ascii="Ahang DemiBoldSharp" w:hAnsi="Ahang DemiBoldSharp" w:cs="Ahang DemiBoldSharp"/>
          <w:sz w:val="21"/>
          <w:szCs w:val="21"/>
          <w:rtl/>
        </w:rPr>
        <w:t xml:space="preserve"> شده است كه پارسونز براي فرهنگ آن‌چنان كاركردي در نظر گرفته كه ديگر عوامل موجود و دخيل در جامعه و تناقضات ممكن را ناديده انگاشته و گويي عوامل ديگر را در محاسبات حذف كرده است. افزون بر اين، وي به احياي اسطوره‌ي انسجام و سيطره‌ي فرهنگي و تمايل به نوعي «</w:t>
      </w:r>
      <w:r w:rsidRPr="0081507C">
        <w:rPr>
          <w:rFonts w:ascii="Ahang DemiBoldSharp" w:hAnsi="Ahang DemiBoldSharp" w:cs="Ahang DemiBoldSharp" w:hint="eastAsia"/>
          <w:sz w:val="21"/>
          <w:szCs w:val="21"/>
          <w:rtl/>
        </w:rPr>
        <w:t>جبرگرايي</w:t>
      </w:r>
      <w:r w:rsidRPr="0081507C">
        <w:rPr>
          <w:rFonts w:ascii="Ahang DemiBoldSharp" w:hAnsi="Ahang DemiBoldSharp" w:cs="Ahang DemiBoldSharp"/>
          <w:sz w:val="21"/>
          <w:szCs w:val="21"/>
          <w:rtl/>
        </w:rPr>
        <w:t xml:space="preserve"> فرهنگي» كه در آن، گويي فرهنگ دست و پاي افراد را مي‌بندد و آنها را بي‌اختيار به سويي مي‌راند، متهم شده است</w:t>
      </w:r>
      <w:r w:rsidRPr="0081507C">
        <w:rPr>
          <w:rFonts w:ascii="Ahang DemiBoldSharp" w:hAnsi="Ahang DemiBoldSharp" w:cs="Ahang DemiBoldSharp"/>
          <w:sz w:val="21"/>
          <w:szCs w:val="21"/>
        </w:rPr>
        <w:t>.</w:t>
      </w:r>
    </w:p>
    <w:p w14:paraId="4D3D31F2"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p>
    <w:p w14:paraId="3FB1EF06"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نقد</w:t>
      </w:r>
      <w:r w:rsidRPr="0081507C">
        <w:rPr>
          <w:rFonts w:ascii="Ahang DemiBoldSharp" w:hAnsi="Ahang DemiBoldSharp" w:cs="Ahang DemiBoldSharp"/>
          <w:sz w:val="21"/>
          <w:szCs w:val="21"/>
          <w:rtl/>
        </w:rPr>
        <w:t xml:space="preserve"> نظر پارسونز</w:t>
      </w:r>
    </w:p>
    <w:p w14:paraId="282B986A"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lastRenderedPageBreak/>
        <w:t> </w:t>
      </w:r>
      <w:r w:rsidRPr="0081507C">
        <w:rPr>
          <w:rFonts w:ascii="Ahang DemiBoldSharp" w:hAnsi="Ahang DemiBoldSharp" w:cs="Ahang DemiBoldSharp" w:hint="eastAsia"/>
          <w:sz w:val="21"/>
          <w:szCs w:val="21"/>
          <w:rtl/>
        </w:rPr>
        <w:t>پارسونز</w:t>
      </w:r>
      <w:r w:rsidRPr="0081507C">
        <w:rPr>
          <w:rFonts w:ascii="Ahang DemiBoldSharp" w:hAnsi="Ahang DemiBoldSharp" w:cs="Ahang DemiBoldSharp"/>
          <w:sz w:val="21"/>
          <w:szCs w:val="21"/>
          <w:rtl/>
        </w:rPr>
        <w:t xml:space="preserve"> در مطالعات اجتماعي ايران و شايد جهان، چهره‌اي بنام است و همچنان بعد از گذشت ده‌ها سال از فوت او، انديشه‌هاي اين متفكر جامعه‌شناس، كه رنگ فلسفي نيز دارد، بر جوامع مسلط است، بنابراين آراي او در حوزه‌ي جامعه‌شناسي و از جمله نظريه‌ي فرهنگ اهميت ويژه‌ا</w:t>
      </w:r>
      <w:r w:rsidRPr="0081507C">
        <w:rPr>
          <w:rFonts w:ascii="Ahang DemiBoldSharp" w:hAnsi="Ahang DemiBoldSharp" w:cs="Ahang DemiBoldSharp" w:hint="eastAsia"/>
          <w:sz w:val="21"/>
          <w:szCs w:val="21"/>
          <w:rtl/>
        </w:rPr>
        <w:t>ي</w:t>
      </w:r>
      <w:r w:rsidRPr="0081507C">
        <w:rPr>
          <w:rFonts w:ascii="Ahang DemiBoldSharp" w:hAnsi="Ahang DemiBoldSharp" w:cs="Ahang DemiBoldSharp"/>
          <w:sz w:val="21"/>
          <w:szCs w:val="21"/>
          <w:rtl/>
        </w:rPr>
        <w:t xml:space="preserve"> دارد. با تمام اين احوال، نقدهايي بر نظريه‌ي فرهنگ پارسونز وارد است كه در ادامه به آنها اشاره شده است</w:t>
      </w:r>
      <w:r w:rsidRPr="0081507C">
        <w:rPr>
          <w:rFonts w:ascii="Ahang DemiBoldSharp" w:hAnsi="Ahang DemiBoldSharp" w:cs="Ahang DemiBoldSharp"/>
          <w:sz w:val="21"/>
          <w:szCs w:val="21"/>
        </w:rPr>
        <w:t>:</w:t>
      </w:r>
    </w:p>
    <w:p w14:paraId="2B82EF2E"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sz w:val="21"/>
          <w:szCs w:val="21"/>
        </w:rPr>
        <w:t xml:space="preserve">1. </w:t>
      </w:r>
      <w:r w:rsidRPr="0081507C">
        <w:rPr>
          <w:rFonts w:ascii="Ahang DemiBoldSharp" w:hAnsi="Ahang DemiBoldSharp" w:cs="Ahang DemiBoldSharp"/>
          <w:sz w:val="21"/>
          <w:szCs w:val="21"/>
          <w:rtl/>
        </w:rPr>
        <w:t>تقسيم جهان‌هاي چهارگانه‌ي او در مسئله‌ي مناسبات اجتماعي، از سويي جامع نيست و از سوي ديگر كاملاً سكولاريستي است. در تقسيم پارسونز معنويت و الهيات و بُعد لاهوتي حيات انسان و فطرت كاملاً ناديده انگاشته شده است. متأسفانه با وجود اينكه نگاه او كاملاً سكولار</w:t>
      </w:r>
      <w:r w:rsidRPr="0081507C">
        <w:rPr>
          <w:rFonts w:ascii="Ahang DemiBoldSharp" w:hAnsi="Ahang DemiBoldSharp" w:cs="Ahang DemiBoldSharp" w:hint="eastAsia"/>
          <w:sz w:val="21"/>
          <w:szCs w:val="21"/>
          <w:rtl/>
        </w:rPr>
        <w:t>يستي</w:t>
      </w:r>
      <w:r w:rsidRPr="0081507C">
        <w:rPr>
          <w:rFonts w:ascii="Ahang DemiBoldSharp" w:hAnsi="Ahang DemiBoldSharp" w:cs="Ahang DemiBoldSharp"/>
          <w:sz w:val="21"/>
          <w:szCs w:val="21"/>
          <w:rtl/>
        </w:rPr>
        <w:t xml:space="preserve"> است، در مجامع علمي ايران و در بحث از الگوي پيشرفت به شدت از آن استقبال مي‌شود و بسياري از نخبگان جامعه‌ي علمي ما اسير قالب‌بندي پارسونزي هستند. اين بلاي دامن‌گير به اندازه‌اي است كه حتي اگر از نظر منطقي هم چهارچوب ديگري در ميان آنها پذيرفته شود، از نظ</w:t>
      </w:r>
      <w:r w:rsidRPr="0081507C">
        <w:rPr>
          <w:rFonts w:ascii="Ahang DemiBoldSharp" w:hAnsi="Ahang DemiBoldSharp" w:cs="Ahang DemiBoldSharp" w:hint="eastAsia"/>
          <w:sz w:val="21"/>
          <w:szCs w:val="21"/>
          <w:rtl/>
        </w:rPr>
        <w:t>ر</w:t>
      </w:r>
      <w:r w:rsidRPr="0081507C">
        <w:rPr>
          <w:rFonts w:ascii="Ahang DemiBoldSharp" w:hAnsi="Ahang DemiBoldSharp" w:cs="Ahang DemiBoldSharp"/>
          <w:sz w:val="21"/>
          <w:szCs w:val="21"/>
          <w:rtl/>
        </w:rPr>
        <w:t xml:space="preserve"> رواني و ذهنيت براي آنها امكان خروج از چهارچوب اين تقسيم وجود ندارد. با توجه به اينكه اكنون و با طرح مسئله‌ي الگوي پيشرفت ايراني ـ اسلامي، يكي از دغدغه‌هاي اساسي نخبگان ما تقسيم درست ابعاد حيات جامعه است، اين نفوذ ذهني يكي از تهديدهاي اساسي طراحي الگوي پي</w:t>
      </w:r>
      <w:r w:rsidRPr="0081507C">
        <w:rPr>
          <w:rFonts w:ascii="Ahang DemiBoldSharp" w:hAnsi="Ahang DemiBoldSharp" w:cs="Ahang DemiBoldSharp" w:hint="eastAsia"/>
          <w:sz w:val="21"/>
          <w:szCs w:val="21"/>
          <w:rtl/>
        </w:rPr>
        <w:t>شرفت</w:t>
      </w:r>
      <w:r w:rsidRPr="0081507C">
        <w:rPr>
          <w:rFonts w:ascii="Ahang DemiBoldSharp" w:hAnsi="Ahang DemiBoldSharp" w:cs="Ahang DemiBoldSharp"/>
          <w:sz w:val="21"/>
          <w:szCs w:val="21"/>
          <w:rtl/>
        </w:rPr>
        <w:t xml:space="preserve"> اسلامي ـ ايراني به شمار مي‌آيد</w:t>
      </w:r>
      <w:r w:rsidRPr="0081507C">
        <w:rPr>
          <w:rFonts w:ascii="Ahang DemiBoldSharp" w:hAnsi="Ahang DemiBoldSharp" w:cs="Ahang DemiBoldSharp"/>
          <w:sz w:val="21"/>
          <w:szCs w:val="21"/>
        </w:rPr>
        <w:t>.</w:t>
      </w:r>
    </w:p>
    <w:p w14:paraId="591E74ED"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مناسبات</w:t>
      </w:r>
      <w:r w:rsidRPr="0081507C">
        <w:rPr>
          <w:rFonts w:ascii="Ahang DemiBoldSharp" w:hAnsi="Ahang DemiBoldSharp" w:cs="Ahang DemiBoldSharp"/>
          <w:sz w:val="21"/>
          <w:szCs w:val="21"/>
          <w:rtl/>
        </w:rPr>
        <w:t xml:space="preserve"> انساني به چهار نظام مطرح در تقسيم پارسونز منحصر و محدود نمي‌شود و بايد همه‌ي كنش‌ها و رفتار انسان يا هويت و شخصيت او و نيز همه‌ي مواجهه‌هاي انسان با همه‌ي متعلَق‌هاي مواجهه ديده شود</w:t>
      </w:r>
      <w:r w:rsidRPr="0081507C">
        <w:rPr>
          <w:rFonts w:ascii="Ahang DemiBoldSharp" w:hAnsi="Ahang DemiBoldSharp" w:cs="Ahang DemiBoldSharp"/>
          <w:sz w:val="21"/>
          <w:szCs w:val="21"/>
        </w:rPr>
        <w:t>. [17]</w:t>
      </w:r>
    </w:p>
    <w:p w14:paraId="0078914D"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sz w:val="21"/>
          <w:szCs w:val="21"/>
        </w:rPr>
        <w:t xml:space="preserve">2. </w:t>
      </w:r>
      <w:r w:rsidRPr="0081507C">
        <w:rPr>
          <w:rFonts w:ascii="Ahang DemiBoldSharp" w:hAnsi="Ahang DemiBoldSharp" w:cs="Ahang DemiBoldSharp"/>
          <w:sz w:val="21"/>
          <w:szCs w:val="21"/>
          <w:rtl/>
        </w:rPr>
        <w:t>تعابيري كه از ايشان به عنوان تعريف فرهنگ در دست است، هيچ‌يك تعريف نيستند. اين تعبير كه فرهنگ آن الگوهايي است كه ممكن است به ارث رسيده باشد و به رفتار هم مربوط است، هيچ مطلبي را براي مخاطب روشن نمي‌كند. در اين عبارت از ويژگي‌هاي فرهنگ سخن به ميان آمده ا</w:t>
      </w:r>
      <w:r w:rsidRPr="0081507C">
        <w:rPr>
          <w:rFonts w:ascii="Ahang DemiBoldSharp" w:hAnsi="Ahang DemiBoldSharp" w:cs="Ahang DemiBoldSharp" w:hint="eastAsia"/>
          <w:sz w:val="21"/>
          <w:szCs w:val="21"/>
          <w:rtl/>
        </w:rPr>
        <w:t>ست</w:t>
      </w:r>
      <w:r w:rsidRPr="0081507C">
        <w:rPr>
          <w:rFonts w:ascii="Ahang DemiBoldSharp" w:hAnsi="Ahang DemiBoldSharp" w:cs="Ahang DemiBoldSharp"/>
          <w:sz w:val="21"/>
          <w:szCs w:val="21"/>
          <w:rtl/>
        </w:rPr>
        <w:t>. به عبارت دقيق‌تر انتقال فرهنگ از نسلي به نسل ديگر و مستقل از ژن‌هاي زيستي، يكي از ويژگي‌هاي فرهنگ است. به تعبير دقيق‌تر در اينجا وصفي از فرهنگ بيان شده است، اما اين وصف‌ ماهوي نيست و هيچ‌يك از اين تعابير، سرشت و صفات ذاتي فرهنگ را نشان نمي‌دهد</w:t>
      </w:r>
      <w:r w:rsidRPr="0081507C">
        <w:rPr>
          <w:rFonts w:ascii="Ahang DemiBoldSharp" w:hAnsi="Ahang DemiBoldSharp" w:cs="Ahang DemiBoldSharp"/>
          <w:sz w:val="21"/>
          <w:szCs w:val="21"/>
        </w:rPr>
        <w:t>.</w:t>
      </w:r>
    </w:p>
    <w:p w14:paraId="2C6AEB59"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فرهنگ</w:t>
      </w:r>
      <w:r w:rsidRPr="0081507C">
        <w:rPr>
          <w:rFonts w:ascii="Ahang DemiBoldSharp" w:hAnsi="Ahang DemiBoldSharp" w:cs="Ahang DemiBoldSharp"/>
          <w:sz w:val="21"/>
          <w:szCs w:val="21"/>
          <w:rtl/>
        </w:rPr>
        <w:t xml:space="preserve"> عبارت است از يك ساختار نمادينِ بيرونيِ پيچيده كه مي‌تواند نوع واحدي از گرايش را در همه‌ي كنشگراني به وجود آورد كه برحسب اتفاق خود را با آن وفق </w:t>
      </w:r>
      <w:proofErr w:type="gramStart"/>
      <w:r w:rsidRPr="0081507C">
        <w:rPr>
          <w:rFonts w:ascii="Ahang DemiBoldSharp" w:hAnsi="Ahang DemiBoldSharp" w:cs="Ahang DemiBoldSharp"/>
          <w:sz w:val="21"/>
          <w:szCs w:val="21"/>
          <w:rtl/>
        </w:rPr>
        <w:t>مي‌دهند.»</w:t>
      </w:r>
      <w:proofErr w:type="gramEnd"/>
      <w:r w:rsidRPr="0081507C">
        <w:rPr>
          <w:rFonts w:ascii="Ahang DemiBoldSharp" w:hAnsi="Ahang DemiBoldSharp" w:cs="Ahang DemiBoldSharp"/>
          <w:sz w:val="21"/>
          <w:szCs w:val="21"/>
          <w:rtl/>
        </w:rPr>
        <w:t xml:space="preserve"> پارسونز در اينجا تنها از كاركردهاي فرهنگ سخن گفته و فرهنگ را به كاركردها تعريف كرده است؛ البته </w:t>
      </w:r>
      <w:r w:rsidRPr="0081507C">
        <w:rPr>
          <w:rFonts w:ascii="Ahang DemiBoldSharp" w:hAnsi="Ahang DemiBoldSharp" w:cs="Ahang DemiBoldSharp" w:hint="eastAsia"/>
          <w:sz w:val="21"/>
          <w:szCs w:val="21"/>
          <w:rtl/>
        </w:rPr>
        <w:t>كاركردها</w:t>
      </w:r>
      <w:r w:rsidRPr="0081507C">
        <w:rPr>
          <w:rFonts w:ascii="Ahang DemiBoldSharp" w:hAnsi="Ahang DemiBoldSharp" w:cs="Ahang DemiBoldSharp"/>
          <w:sz w:val="21"/>
          <w:szCs w:val="21"/>
          <w:rtl/>
        </w:rPr>
        <w:t xml:space="preserve"> هم به روشني تبيين نشده است. براي مثال درباره‌ي اين موضوع كه فرهنگ به كنش آدمي جهت مي‌دهد، مي‌توان پرسيد كه چه جهتي مي‌دهد؛ جهت ارزشي يا ضدارزشي؟ افزون بر اين، ساختاري‌بودن، نمادين‌بودن، بيروني‌بودن، پيچيده‌بودن، ذره‌اي از ماهيت فرهنگ را روشن نمي‌ك</w:t>
      </w:r>
      <w:r w:rsidRPr="0081507C">
        <w:rPr>
          <w:rFonts w:ascii="Ahang DemiBoldSharp" w:hAnsi="Ahang DemiBoldSharp" w:cs="Ahang DemiBoldSharp" w:hint="eastAsia"/>
          <w:sz w:val="21"/>
          <w:szCs w:val="21"/>
          <w:rtl/>
        </w:rPr>
        <w:t>ند</w:t>
      </w:r>
      <w:r w:rsidRPr="0081507C">
        <w:rPr>
          <w:rFonts w:ascii="Ahang DemiBoldSharp" w:hAnsi="Ahang DemiBoldSharp" w:cs="Ahang DemiBoldSharp"/>
          <w:sz w:val="21"/>
          <w:szCs w:val="21"/>
        </w:rPr>
        <w:t>.</w:t>
      </w:r>
    </w:p>
    <w:p w14:paraId="1CD38DE7"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sz w:val="21"/>
          <w:szCs w:val="21"/>
        </w:rPr>
        <w:t xml:space="preserve">3. </w:t>
      </w:r>
      <w:r w:rsidRPr="0081507C">
        <w:rPr>
          <w:rFonts w:ascii="Ahang DemiBoldSharp" w:hAnsi="Ahang DemiBoldSharp" w:cs="Ahang DemiBoldSharp"/>
          <w:sz w:val="21"/>
          <w:szCs w:val="21"/>
          <w:rtl/>
        </w:rPr>
        <w:t xml:space="preserve">فروكاستن فرهنگ به الگوها و منحصر كردن آن به الگوهاي رفتاري فاقد توجيه كافي و لازم است. چنين فروكاستني بدون توجه به «بينش»، كه يكي از مؤلفه‌هاي مهم فرهنگ است، كاستي تعريف پارسونز قلمداد مي‌شود. رفتار و كنش تحت تأثير بينش اتفاق مي‌افتد و در واقع بينش‌ها </w:t>
      </w:r>
      <w:r w:rsidRPr="0081507C">
        <w:rPr>
          <w:rFonts w:ascii="Ahang DemiBoldSharp" w:hAnsi="Ahang DemiBoldSharp" w:cs="Ahang DemiBoldSharp" w:hint="eastAsia"/>
          <w:sz w:val="21"/>
          <w:szCs w:val="21"/>
          <w:rtl/>
        </w:rPr>
        <w:t>هستند</w:t>
      </w:r>
      <w:r w:rsidRPr="0081507C">
        <w:rPr>
          <w:rFonts w:ascii="Ahang DemiBoldSharp" w:hAnsi="Ahang DemiBoldSharp" w:cs="Ahang DemiBoldSharp"/>
          <w:sz w:val="21"/>
          <w:szCs w:val="21"/>
          <w:rtl/>
        </w:rPr>
        <w:t xml:space="preserve"> كه كنش‌ها و رفتارها را مي‌سازند و ارزش‌ها از بينش‌ها متأثرند. به عبارت دقيق‌تر بينش مبناي ارزش و ارزش مبناي كنش است. اين در حالي است كه در تعريف پارسونز، سهم بينش، منش و خوي‌هاي دروني‌شده‌ي انساني، كه بخش عمده‌اي از فرهنگ است، ناديده گرفته شده است</w:t>
      </w:r>
      <w:r w:rsidRPr="0081507C">
        <w:rPr>
          <w:rFonts w:ascii="Ahang DemiBoldSharp" w:hAnsi="Ahang DemiBoldSharp" w:cs="Ahang DemiBoldSharp"/>
          <w:sz w:val="21"/>
          <w:szCs w:val="21"/>
        </w:rPr>
        <w:t>.</w:t>
      </w:r>
    </w:p>
    <w:p w14:paraId="7AF78A5A"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پارسونز</w:t>
      </w:r>
      <w:r w:rsidRPr="0081507C">
        <w:rPr>
          <w:rFonts w:ascii="Ahang DemiBoldSharp" w:hAnsi="Ahang DemiBoldSharp" w:cs="Ahang DemiBoldSharp"/>
          <w:sz w:val="21"/>
          <w:szCs w:val="21"/>
          <w:rtl/>
        </w:rPr>
        <w:t xml:space="preserve"> فرهنگ را ارزش‌ها و هنجارهايي دانسته كه براي انسان ملكه شده، اما در اينجا اين پرسش مطرح است كه اين ارزش‌ها از كجا و تحت تأثير چه عواملي پديد آمده‌اند؟ مسلم است كه اين ارزش‌ها از يك منشأ سرچشمه گرفته‌اند، اما چون پارسونز فرهنگ را فطري نمي‌داند، بايد پرسيد كه عوامل مؤثر در پيدايش آنها چه بوده است. اين پرسش‌هايي است كه در تعريف پارسونز به آنها پاسخ داده نشده است. اين اشكال زماني بيشتر خود را نشان مي‌دهد كه بدانيم براساس ديدگاه پارسونز، فرهنگِ پديدآمده، متغير، سيال و سيار است</w:t>
      </w:r>
      <w:r w:rsidRPr="0081507C">
        <w:rPr>
          <w:rFonts w:ascii="Ahang DemiBoldSharp" w:hAnsi="Ahang DemiBoldSharp" w:cs="Ahang DemiBoldSharp"/>
          <w:sz w:val="21"/>
          <w:szCs w:val="21"/>
        </w:rPr>
        <w:t>.</w:t>
      </w:r>
    </w:p>
    <w:p w14:paraId="0583A66F"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lastRenderedPageBreak/>
        <w:t> </w:t>
      </w:r>
      <w:r w:rsidRPr="0081507C">
        <w:rPr>
          <w:rFonts w:ascii="Ahang DemiBoldSharp" w:hAnsi="Ahang DemiBoldSharp" w:cs="Ahang DemiBoldSharp" w:hint="eastAsia"/>
          <w:sz w:val="21"/>
          <w:szCs w:val="21"/>
          <w:rtl/>
        </w:rPr>
        <w:t>بنابراين</w:t>
      </w:r>
      <w:r w:rsidRPr="0081507C">
        <w:rPr>
          <w:rFonts w:ascii="Ahang DemiBoldSharp" w:hAnsi="Ahang DemiBoldSharp" w:cs="Ahang DemiBoldSharp"/>
          <w:sz w:val="21"/>
          <w:szCs w:val="21"/>
          <w:rtl/>
        </w:rPr>
        <w:t xml:space="preserve"> فروكاستن فرهنگ به الگوها، آن هم الگوهاي رفتاري، فاقد توجيه كافي و لازم است؛ زيرا الگوها نيز خودْ تحت تأثير بينش‌ها پديد مي‌آيند</w:t>
      </w:r>
      <w:r w:rsidRPr="0081507C">
        <w:rPr>
          <w:rFonts w:ascii="Ahang DemiBoldSharp" w:hAnsi="Ahang DemiBoldSharp" w:cs="Ahang DemiBoldSharp"/>
          <w:sz w:val="21"/>
          <w:szCs w:val="21"/>
        </w:rPr>
        <w:t>.</w:t>
      </w:r>
    </w:p>
    <w:p w14:paraId="26949245"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sz w:val="21"/>
          <w:szCs w:val="21"/>
        </w:rPr>
        <w:t xml:space="preserve">4. </w:t>
      </w:r>
      <w:r w:rsidRPr="0081507C">
        <w:rPr>
          <w:rFonts w:ascii="Ahang DemiBoldSharp" w:hAnsi="Ahang DemiBoldSharp" w:cs="Ahang DemiBoldSharp"/>
          <w:sz w:val="21"/>
          <w:szCs w:val="21"/>
          <w:rtl/>
        </w:rPr>
        <w:t>پارسونز فرهنگ را به حوزه‌ي رفتار، كه وجه سخت‌افزاري مناسبات انسان است، محدود كرده و از مؤلفه‌هاي نرم‌افزاري، كه بينش و منش است و لايه‌هاي ژرف‌تر فرهنگ را تشكيل مي‌دهد، غفلت نموده است. مؤلفه‌هاي نرم‌افزاري انسجام‌بخش‌اند و حتي رفتار را مي‌سازند و سهم اف</w:t>
      </w:r>
      <w:r w:rsidRPr="0081507C">
        <w:rPr>
          <w:rFonts w:ascii="Ahang DemiBoldSharp" w:hAnsi="Ahang DemiBoldSharp" w:cs="Ahang DemiBoldSharp" w:hint="eastAsia"/>
          <w:sz w:val="21"/>
          <w:szCs w:val="21"/>
          <w:rtl/>
        </w:rPr>
        <w:t>راطي‌بخشيدن</w:t>
      </w:r>
      <w:r w:rsidRPr="0081507C">
        <w:rPr>
          <w:rFonts w:ascii="Ahang DemiBoldSharp" w:hAnsi="Ahang DemiBoldSharp" w:cs="Ahang DemiBoldSharp"/>
          <w:sz w:val="21"/>
          <w:szCs w:val="21"/>
          <w:rtl/>
        </w:rPr>
        <w:t xml:space="preserve"> به فرهنگ در لايه‌ي رفتاري آن، چنان موجه نيست؛ افزون بر اينكه نقش افراطي‌ قائل‌شدن براي فرهنگ نيز محل تأمل است كه به نوعي جبرگرايي فرهنگي منتهي مي‌شود</w:t>
      </w:r>
      <w:r w:rsidRPr="0081507C">
        <w:rPr>
          <w:rFonts w:ascii="Ahang DemiBoldSharp" w:hAnsi="Ahang DemiBoldSharp" w:cs="Ahang DemiBoldSharp"/>
          <w:sz w:val="21"/>
          <w:szCs w:val="21"/>
        </w:rPr>
        <w:t>.</w:t>
      </w:r>
    </w:p>
    <w:p w14:paraId="2CBC1F69"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sz w:val="21"/>
          <w:szCs w:val="21"/>
        </w:rPr>
        <w:t xml:space="preserve">5. </w:t>
      </w:r>
      <w:r w:rsidRPr="0081507C">
        <w:rPr>
          <w:rFonts w:ascii="Ahang DemiBoldSharp" w:hAnsi="Ahang DemiBoldSharp" w:cs="Ahang DemiBoldSharp"/>
          <w:sz w:val="21"/>
          <w:szCs w:val="21"/>
          <w:rtl/>
        </w:rPr>
        <w:t>بسياري از فرهنگ‌پژوهان بر جنبه‌ي آموزشي فرهنگ تأكيد كرده‌اند و اين نظر در كل صحيح است كه فرهنگ جنبه‌ي آموزشي نيز دارد، اما همه‌ي فرهنگ‌ها و همه‌ي فرهنگ، نيست. در واقع اين ديدگاه كه فرهنگ فقط به صورت آموزشي به ديگران انتقال مي‌يابد و از گذر فرادهي و فرا</w:t>
      </w:r>
      <w:r w:rsidRPr="0081507C">
        <w:rPr>
          <w:rFonts w:ascii="Ahang DemiBoldSharp" w:hAnsi="Ahang DemiBoldSharp" w:cs="Ahang DemiBoldSharp" w:hint="eastAsia"/>
          <w:sz w:val="21"/>
          <w:szCs w:val="21"/>
          <w:rtl/>
        </w:rPr>
        <w:t>گيري</w:t>
      </w:r>
      <w:r w:rsidRPr="0081507C">
        <w:rPr>
          <w:rFonts w:ascii="Ahang DemiBoldSharp" w:hAnsi="Ahang DemiBoldSharp" w:cs="Ahang DemiBoldSharp"/>
          <w:sz w:val="21"/>
          <w:szCs w:val="21"/>
          <w:rtl/>
        </w:rPr>
        <w:t xml:space="preserve"> جابه‌جا مي‌شود صحيح نيست. فرهنگ‌هاي بدوي اقوام بدوي نمونه‌ي نقض‌ اين ديدگاه است؛ اين فرهنگ‌ها بيشتر طبيعت‌بنيان و درون‌خيز هستند تا فراگرفته‌شده. وجود عناصر مشترك و جهان‌شمول در فرهنگ‌ها، كه فراقومي و فراقليمي هستند نيز گواه اين موضوع است. بعضي از انو</w:t>
      </w:r>
      <w:r w:rsidRPr="0081507C">
        <w:rPr>
          <w:rFonts w:ascii="Ahang DemiBoldSharp" w:hAnsi="Ahang DemiBoldSharp" w:cs="Ahang DemiBoldSharp" w:hint="eastAsia"/>
          <w:sz w:val="21"/>
          <w:szCs w:val="21"/>
          <w:rtl/>
        </w:rPr>
        <w:t>اع</w:t>
      </w:r>
      <w:r w:rsidRPr="0081507C">
        <w:rPr>
          <w:rFonts w:ascii="Ahang DemiBoldSharp" w:hAnsi="Ahang DemiBoldSharp" w:cs="Ahang DemiBoldSharp"/>
          <w:sz w:val="21"/>
          <w:szCs w:val="21"/>
          <w:rtl/>
        </w:rPr>
        <w:t xml:space="preserve"> فرهنگ‌ها، كه بسيط‌تر و فطري‌تر هستند، غريزي‌اند يا لااقل در فرهنگ‌ها، عناصر فطري و غريزي وجود دارد. وجود نقاط مشترك فرهنگي ميان جوامعي كه هيچ‌گونه تماسي با هم نداشته‌اند حاكي از آن است كه دست‌كم پاره‌اي از عناصر و مؤلفه‌هاي فرهنگ جنبه‌ي غريزي يا به تعبي</w:t>
      </w:r>
      <w:r w:rsidRPr="0081507C">
        <w:rPr>
          <w:rFonts w:ascii="Ahang DemiBoldSharp" w:hAnsi="Ahang DemiBoldSharp" w:cs="Ahang DemiBoldSharp" w:hint="eastAsia"/>
          <w:sz w:val="21"/>
          <w:szCs w:val="21"/>
          <w:rtl/>
        </w:rPr>
        <w:t>ر</w:t>
      </w:r>
      <w:r w:rsidRPr="0081507C">
        <w:rPr>
          <w:rFonts w:ascii="Ahang DemiBoldSharp" w:hAnsi="Ahang DemiBoldSharp" w:cs="Ahang DemiBoldSharp"/>
          <w:sz w:val="21"/>
          <w:szCs w:val="21"/>
          <w:rtl/>
        </w:rPr>
        <w:t xml:space="preserve"> ديني آن جنبه‌ي فطري دارند</w:t>
      </w:r>
      <w:r w:rsidRPr="0081507C">
        <w:rPr>
          <w:rFonts w:ascii="Ahang DemiBoldSharp" w:hAnsi="Ahang DemiBoldSharp" w:cs="Ahang DemiBoldSharp"/>
          <w:sz w:val="21"/>
          <w:szCs w:val="21"/>
        </w:rPr>
        <w:t>.</w:t>
      </w:r>
    </w:p>
    <w:p w14:paraId="480DB76A"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بسياري</w:t>
      </w:r>
      <w:r w:rsidRPr="0081507C">
        <w:rPr>
          <w:rFonts w:ascii="Ahang DemiBoldSharp" w:hAnsi="Ahang DemiBoldSharp" w:cs="Ahang DemiBoldSharp"/>
          <w:sz w:val="21"/>
          <w:szCs w:val="21"/>
          <w:rtl/>
        </w:rPr>
        <w:t xml:space="preserve"> از فرهنگ‌پژوهان بر اين مسئله تأكيد ورزيده‌اند كه فرهنگ فطري ـ غريزي يا ژنتيكي نيست، بلكه فرادادني و فراگرفتني است و از رهگذر تعليم و تعلم آگاهانه و غيرآگاهانه به ديگران منتقل مي‌شود، اما اين نكته محل تأمل است؛ زيرا بعضي از فرهنگ‌ها كاملاً فطري و غر</w:t>
      </w:r>
      <w:r w:rsidRPr="0081507C">
        <w:rPr>
          <w:rFonts w:ascii="Ahang DemiBoldSharp" w:hAnsi="Ahang DemiBoldSharp" w:cs="Ahang DemiBoldSharp" w:hint="eastAsia"/>
          <w:sz w:val="21"/>
          <w:szCs w:val="21"/>
          <w:rtl/>
        </w:rPr>
        <w:t>يزي</w:t>
      </w:r>
      <w:r w:rsidRPr="0081507C">
        <w:rPr>
          <w:rFonts w:ascii="Ahang DemiBoldSharp" w:hAnsi="Ahang DemiBoldSharp" w:cs="Ahang DemiBoldSharp"/>
          <w:sz w:val="21"/>
          <w:szCs w:val="21"/>
          <w:rtl/>
        </w:rPr>
        <w:t xml:space="preserve"> هستند يا غلبه در آنها با عناصر فطري و غريزي است، و بخشي از عناصر باقي فرهنگ‌ها نيز حتماً فطري و غريزي و طبيعي هستند. شاهد اين ادعا هم وجود نمونه‌هاي فراوان از عناصر مشتركِ جهان‌شمول در فرهنگ‌هاي گوناگون حتي بدون داشتن تماس با هم است. با مطالعه‌ي فرهنگ‌</w:t>
      </w:r>
      <w:r w:rsidRPr="0081507C">
        <w:rPr>
          <w:rFonts w:ascii="Ahang DemiBoldSharp" w:hAnsi="Ahang DemiBoldSharp" w:cs="Ahang DemiBoldSharp" w:hint="eastAsia"/>
          <w:sz w:val="21"/>
          <w:szCs w:val="21"/>
          <w:rtl/>
        </w:rPr>
        <w:t>هاي</w:t>
      </w:r>
      <w:r w:rsidRPr="0081507C">
        <w:rPr>
          <w:rFonts w:ascii="Ahang DemiBoldSharp" w:hAnsi="Ahang DemiBoldSharp" w:cs="Ahang DemiBoldSharp"/>
          <w:sz w:val="21"/>
          <w:szCs w:val="21"/>
          <w:rtl/>
        </w:rPr>
        <w:t xml:space="preserve"> بدوي پيش از عصر ارتباطات متوجه مي‌شويم كه عناصر مشتركي بين فرهنگ آنها و ديگر فرهنگ‌ها وجود دارد و اين نشان مي‌دهد فرهنگ درون‌مايه‌ها، زيرساخت‌ها، مناشي و آبشخورهاي دروني و طبيعي انساني دارد و همگي آنها القايي نيستند، بلكه بخشي از آنها وجداني، دروني و ف</w:t>
      </w:r>
      <w:r w:rsidRPr="0081507C">
        <w:rPr>
          <w:rFonts w:ascii="Ahang DemiBoldSharp" w:hAnsi="Ahang DemiBoldSharp" w:cs="Ahang DemiBoldSharp" w:hint="eastAsia"/>
          <w:sz w:val="21"/>
          <w:szCs w:val="21"/>
          <w:rtl/>
        </w:rPr>
        <w:t>طري</w:t>
      </w:r>
      <w:r w:rsidRPr="0081507C">
        <w:rPr>
          <w:rFonts w:ascii="Ahang DemiBoldSharp" w:hAnsi="Ahang DemiBoldSharp" w:cs="Ahang DemiBoldSharp"/>
          <w:sz w:val="21"/>
          <w:szCs w:val="21"/>
          <w:rtl/>
        </w:rPr>
        <w:t xml:space="preserve"> هستند</w:t>
      </w:r>
      <w:r w:rsidRPr="0081507C">
        <w:rPr>
          <w:rFonts w:ascii="Ahang DemiBoldSharp" w:hAnsi="Ahang DemiBoldSharp" w:cs="Ahang DemiBoldSharp"/>
          <w:sz w:val="21"/>
          <w:szCs w:val="21"/>
        </w:rPr>
        <w:t>.</w:t>
      </w:r>
    </w:p>
    <w:p w14:paraId="51424728"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sz w:val="21"/>
          <w:szCs w:val="21"/>
        </w:rPr>
        <w:t xml:space="preserve">6. </w:t>
      </w:r>
      <w:r w:rsidRPr="0081507C">
        <w:rPr>
          <w:rFonts w:ascii="Ahang DemiBoldSharp" w:hAnsi="Ahang DemiBoldSharp" w:cs="Ahang DemiBoldSharp"/>
          <w:sz w:val="21"/>
          <w:szCs w:val="21"/>
          <w:rtl/>
        </w:rPr>
        <w:t>افراط در سهم فرهنگ در نظام‌ها و عوالم ديگر مشكل ديگري است كه در تعريف پارسونز مشاهده مي‌شود. اين انديشمند فرهنگ را به گونه‌اي تعريف كرده است كه در آن تمام تناقضات ممكن حذف شده‌اند. در واقع او اسطوره‌ي انسجام فرهنگي را احياء كرده است؛ حتي مي‌توان گفت از نگاشته‌هاي اين جامعه‌شناس بوي نوعي جبرگرايي فرهنگي به مشام مي‌رسد. در نظر او گويي افراد و جوامع اسير چيزي هستند به نام فرهنگ؛ زيرا فرهنگ در كل كنش آنها را جهت مي‌دهد و براساس فرهنگشان مي‌توان كنش آنها را تفسير كرد. گرچه در عبارتي كه از پارسونز نقل شد وي ا</w:t>
      </w:r>
      <w:r w:rsidRPr="0081507C">
        <w:rPr>
          <w:rFonts w:ascii="Ahang DemiBoldSharp" w:hAnsi="Ahang DemiBoldSharp" w:cs="Ahang DemiBoldSharp" w:hint="eastAsia"/>
          <w:sz w:val="21"/>
          <w:szCs w:val="21"/>
          <w:rtl/>
        </w:rPr>
        <w:t>دعا</w:t>
      </w:r>
      <w:r w:rsidRPr="0081507C">
        <w:rPr>
          <w:rFonts w:ascii="Ahang DemiBoldSharp" w:hAnsi="Ahang DemiBoldSharp" w:cs="Ahang DemiBoldSharp"/>
          <w:sz w:val="21"/>
          <w:szCs w:val="21"/>
          <w:rtl/>
        </w:rPr>
        <w:t xml:space="preserve"> كرده بود كه وقتي انسان فرهنگ را دريافت مي‌كند، در آن تعديل‌هاي خلاقانه‌اي به وجود مي‌آورد، ولي هيچ‌جا دليل كافي براي اين نظر خود نياورده بود؛ بنابراين نگاه مسلط در تفكر او خلاف اين ديدگاه را نشان مي‌دهد كه انسان هم سهمي در ساخت فرهنگ داشته باشد، و از ن</w:t>
      </w:r>
      <w:r w:rsidRPr="0081507C">
        <w:rPr>
          <w:rFonts w:ascii="Ahang DemiBoldSharp" w:hAnsi="Ahang DemiBoldSharp" w:cs="Ahang DemiBoldSharp" w:hint="eastAsia"/>
          <w:sz w:val="21"/>
          <w:szCs w:val="21"/>
          <w:rtl/>
        </w:rPr>
        <w:t>ظر</w:t>
      </w:r>
      <w:r w:rsidRPr="0081507C">
        <w:rPr>
          <w:rFonts w:ascii="Ahang DemiBoldSharp" w:hAnsi="Ahang DemiBoldSharp" w:cs="Ahang DemiBoldSharp"/>
          <w:sz w:val="21"/>
          <w:szCs w:val="21"/>
          <w:rtl/>
        </w:rPr>
        <w:t xml:space="preserve"> او انسان است كه ساخته‌ي فرهنگ به شمار مي‌آيد</w:t>
      </w:r>
      <w:r w:rsidRPr="0081507C">
        <w:rPr>
          <w:rFonts w:ascii="Ahang DemiBoldSharp" w:hAnsi="Ahang DemiBoldSharp" w:cs="Ahang DemiBoldSharp"/>
          <w:sz w:val="21"/>
          <w:szCs w:val="21"/>
        </w:rPr>
        <w:t>.</w:t>
      </w:r>
    </w:p>
    <w:p w14:paraId="76B0A7B7"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sz w:val="21"/>
          <w:szCs w:val="21"/>
        </w:rPr>
        <w:t xml:space="preserve">7. </w:t>
      </w:r>
      <w:r w:rsidRPr="0081507C">
        <w:rPr>
          <w:rFonts w:ascii="Ahang DemiBoldSharp" w:hAnsi="Ahang DemiBoldSharp" w:cs="Ahang DemiBoldSharp"/>
          <w:sz w:val="21"/>
          <w:szCs w:val="21"/>
          <w:rtl/>
        </w:rPr>
        <w:t>پارسونز معتقد است فرهنگ «آموزشي» است و بنابراين پديدآمده است، اما وي مشخص نكرده كه فرهنگ از كجا پديد مي‌آيد و مناشي آن چيست؟ اگر فردي فرهنگ را فطري بداند يا بگويد كه سرچشمه‌ها و آبشخورهاي فطري دارد، بدون اينكه توضيح دهد، معلوم مي‌شود كه از نظر او، فرهن</w:t>
      </w:r>
      <w:r w:rsidRPr="0081507C">
        <w:rPr>
          <w:rFonts w:ascii="Ahang DemiBoldSharp" w:hAnsi="Ahang DemiBoldSharp" w:cs="Ahang DemiBoldSharp" w:hint="eastAsia"/>
          <w:sz w:val="21"/>
          <w:szCs w:val="21"/>
          <w:rtl/>
        </w:rPr>
        <w:t>گ</w:t>
      </w:r>
      <w:r w:rsidRPr="0081507C">
        <w:rPr>
          <w:rFonts w:ascii="Ahang DemiBoldSharp" w:hAnsi="Ahang DemiBoldSharp" w:cs="Ahang DemiBoldSharp"/>
          <w:sz w:val="21"/>
          <w:szCs w:val="21"/>
          <w:rtl/>
        </w:rPr>
        <w:t xml:space="preserve"> از فطرت برخاسته است، اما فردي كه مي‌گويد فرهنگ ارثي، ژنتيكي، زيستاني، غريزي و طبيعي نيست و از رهگذر آموزش، فرادهي و فراگيري به نسل‌ها منتقل مي‌شود، بايد توضيح بدهد كه فرهنگ از كجا پديد مي‌آيد و چگونه شكل مي‌گيرد. اين موضوعي است كه جاي خالي آن در تعريف پا</w:t>
      </w:r>
      <w:r w:rsidRPr="0081507C">
        <w:rPr>
          <w:rFonts w:ascii="Ahang DemiBoldSharp" w:hAnsi="Ahang DemiBoldSharp" w:cs="Ahang DemiBoldSharp" w:hint="eastAsia"/>
          <w:sz w:val="21"/>
          <w:szCs w:val="21"/>
          <w:rtl/>
        </w:rPr>
        <w:t>رسونز</w:t>
      </w:r>
      <w:r w:rsidRPr="0081507C">
        <w:rPr>
          <w:rFonts w:ascii="Ahang DemiBoldSharp" w:hAnsi="Ahang DemiBoldSharp" w:cs="Ahang DemiBoldSharp"/>
          <w:sz w:val="21"/>
          <w:szCs w:val="21"/>
          <w:rtl/>
        </w:rPr>
        <w:t xml:space="preserve"> ديده مي‌شود</w:t>
      </w:r>
      <w:r w:rsidRPr="0081507C">
        <w:rPr>
          <w:rFonts w:ascii="Ahang DemiBoldSharp" w:hAnsi="Ahang DemiBoldSharp" w:cs="Ahang DemiBoldSharp"/>
          <w:sz w:val="21"/>
          <w:szCs w:val="21"/>
        </w:rPr>
        <w:t>.</w:t>
      </w:r>
    </w:p>
    <w:p w14:paraId="721EFDAE"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sz w:val="21"/>
          <w:szCs w:val="21"/>
        </w:rPr>
        <w:t xml:space="preserve">8. </w:t>
      </w:r>
      <w:r w:rsidRPr="0081507C">
        <w:rPr>
          <w:rFonts w:ascii="Ahang DemiBoldSharp" w:hAnsi="Ahang DemiBoldSharp" w:cs="Ahang DemiBoldSharp"/>
          <w:sz w:val="21"/>
          <w:szCs w:val="21"/>
          <w:rtl/>
        </w:rPr>
        <w:t>درحالي‌كه در يك جامعه، يك فرهنگ كهن، اصيل، عريق و ريشه‌دار، مسلط و مسيطر است، باز هم در درون آن جامعه تضادها و كشمكش‌هاي فراواني مشاهده مي‌شود. حال اگر و بنا بر اين است كه فرهنگ انسجام‌بخش جامعه باشد، اين تضادها، تعارضات و كشمكش‌ها چرا پديد مي‌آيند و ا</w:t>
      </w:r>
      <w:r w:rsidRPr="0081507C">
        <w:rPr>
          <w:rFonts w:ascii="Ahang DemiBoldSharp" w:hAnsi="Ahang DemiBoldSharp" w:cs="Ahang DemiBoldSharp" w:hint="eastAsia"/>
          <w:sz w:val="21"/>
          <w:szCs w:val="21"/>
          <w:rtl/>
        </w:rPr>
        <w:t>گر</w:t>
      </w:r>
      <w:r w:rsidRPr="0081507C">
        <w:rPr>
          <w:rFonts w:ascii="Ahang DemiBoldSharp" w:hAnsi="Ahang DemiBoldSharp" w:cs="Ahang DemiBoldSharp"/>
          <w:sz w:val="21"/>
          <w:szCs w:val="21"/>
          <w:rtl/>
        </w:rPr>
        <w:t xml:space="preserve"> فرهنگ كاركردي مانند آنچه پارسونز گفته است داشته باشد نبايد اين اتفاقات رخ دهد</w:t>
      </w:r>
      <w:r w:rsidRPr="0081507C">
        <w:rPr>
          <w:rFonts w:ascii="Ahang DemiBoldSharp" w:hAnsi="Ahang DemiBoldSharp" w:cs="Ahang DemiBoldSharp"/>
          <w:sz w:val="21"/>
          <w:szCs w:val="21"/>
        </w:rPr>
        <w:t>.</w:t>
      </w:r>
    </w:p>
    <w:p w14:paraId="29F6F320"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lastRenderedPageBreak/>
        <w:t> </w:t>
      </w:r>
      <w:r w:rsidRPr="0081507C">
        <w:rPr>
          <w:rFonts w:ascii="Ahang DemiBoldSharp" w:hAnsi="Ahang DemiBoldSharp" w:cs="Ahang DemiBoldSharp" w:hint="eastAsia"/>
          <w:sz w:val="21"/>
          <w:szCs w:val="21"/>
          <w:rtl/>
        </w:rPr>
        <w:t>پارسونيز</w:t>
      </w:r>
      <w:r w:rsidRPr="0081507C">
        <w:rPr>
          <w:rFonts w:ascii="Ahang DemiBoldSharp" w:hAnsi="Ahang DemiBoldSharp" w:cs="Ahang DemiBoldSharp"/>
          <w:sz w:val="21"/>
          <w:szCs w:val="21"/>
          <w:rtl/>
        </w:rPr>
        <w:t xml:space="preserve"> فرهنگ را انسجام‌بخش جامعه دانسته و در توجيه اين ديدگاه گفته است: جامعه متشكل از افراد كنشگر است و افراد كنشگر نيز داراي يك ملكه‌ي ذهني هستند كه فرهنگ آن را در ذهن آنها ايجاد كرده است؛ بنابراين فرهنگ موجب انسجام است. او همواره براي فرهنگ كاركرد اي</w:t>
      </w:r>
      <w:r w:rsidRPr="0081507C">
        <w:rPr>
          <w:rFonts w:ascii="Ahang DemiBoldSharp" w:hAnsi="Ahang DemiBoldSharp" w:cs="Ahang DemiBoldSharp" w:hint="eastAsia"/>
          <w:sz w:val="21"/>
          <w:szCs w:val="21"/>
          <w:rtl/>
        </w:rPr>
        <w:t>جابي</w:t>
      </w:r>
      <w:r w:rsidRPr="0081507C">
        <w:rPr>
          <w:rFonts w:ascii="Ahang DemiBoldSharp" w:hAnsi="Ahang DemiBoldSharp" w:cs="Ahang DemiBoldSharp"/>
          <w:sz w:val="21"/>
          <w:szCs w:val="21"/>
          <w:rtl/>
        </w:rPr>
        <w:t xml:space="preserve"> درنظر گرفته، اين درحالي‌كه در بسياري از زمان‌ها فرهنگ به عكس، موجب تعارض مي‌شود. منشأ بسياري از نزاع‌ها و تضادهايي كه جوامع گوناگون به آنها دچارند فرهنگ‌ها هستند</w:t>
      </w:r>
      <w:r w:rsidRPr="0081507C">
        <w:rPr>
          <w:rFonts w:ascii="Ahang DemiBoldSharp" w:hAnsi="Ahang DemiBoldSharp" w:cs="Ahang DemiBoldSharp"/>
          <w:sz w:val="21"/>
          <w:szCs w:val="21"/>
        </w:rPr>
        <w:t>.</w:t>
      </w:r>
    </w:p>
    <w:p w14:paraId="01D9D04C"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sz w:val="21"/>
          <w:szCs w:val="21"/>
        </w:rPr>
        <w:t xml:space="preserve">9. </w:t>
      </w:r>
      <w:r w:rsidRPr="0081507C">
        <w:rPr>
          <w:rFonts w:ascii="Ahang DemiBoldSharp" w:hAnsi="Ahang DemiBoldSharp" w:cs="Ahang DemiBoldSharp"/>
          <w:sz w:val="21"/>
          <w:szCs w:val="21"/>
          <w:rtl/>
        </w:rPr>
        <w:t>برخلاف پنداشت پارسونز چنين نيست كه كاركرد فرهنگ فقط به وحدت‌بخشي و حفظ نظام اجتماعي منحصر شود. بايد توضيح داده شود كه اگر فرهنگ فقط از رهگذر آموزش منتقل مي‌شود، چگونه به يكباره در جامعه‌اي فرهنگ تغيير مي‌كند و تضادها و نزاع‌ها آن‌چنان گسترش پيدا مي‌كند كه يكباره فرهنگ زيرورو مي‌شود و انقلاب فرهنگي در جامعه رخ مي‌دهد. پارسونز تبييني براي عناصر خارج از محيط و پارادايم فرهنگ مطرح نكرده است، درحالي‌كه آنها هم از عناصر تأثيرگذار بر جامعه هستند. در واقع او هم از سهم تخريبي، نزاع‌آفرين و تنش‌زاي فرهنگ غفلت كرد</w:t>
      </w:r>
      <w:r w:rsidRPr="0081507C">
        <w:rPr>
          <w:rFonts w:ascii="Ahang DemiBoldSharp" w:hAnsi="Ahang DemiBoldSharp" w:cs="Ahang DemiBoldSharp" w:hint="eastAsia"/>
          <w:sz w:val="21"/>
          <w:szCs w:val="21"/>
          <w:rtl/>
        </w:rPr>
        <w:t>ه</w:t>
      </w:r>
      <w:r w:rsidRPr="0081507C">
        <w:rPr>
          <w:rFonts w:ascii="Ahang DemiBoldSharp" w:hAnsi="Ahang DemiBoldSharp" w:cs="Ahang DemiBoldSharp"/>
          <w:sz w:val="21"/>
          <w:szCs w:val="21"/>
          <w:rtl/>
        </w:rPr>
        <w:t xml:space="preserve"> و هم به عوامل ديگر اشاره چنداني نكرده است</w:t>
      </w:r>
      <w:r w:rsidRPr="0081507C">
        <w:rPr>
          <w:rFonts w:ascii="Ahang DemiBoldSharp" w:hAnsi="Ahang DemiBoldSharp" w:cs="Ahang DemiBoldSharp"/>
          <w:sz w:val="21"/>
          <w:szCs w:val="21"/>
        </w:rPr>
        <w:t>.</w:t>
      </w:r>
    </w:p>
    <w:p w14:paraId="1C189388"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p>
    <w:p w14:paraId="75E08A6B"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پرسش</w:t>
      </w:r>
      <w:r w:rsidRPr="0081507C">
        <w:rPr>
          <w:rFonts w:ascii="Ahang DemiBoldSharp" w:hAnsi="Ahang DemiBoldSharp" w:cs="Ahang DemiBoldSharp"/>
          <w:sz w:val="21"/>
          <w:szCs w:val="21"/>
          <w:rtl/>
        </w:rPr>
        <w:t xml:space="preserve"> و پاسخ</w:t>
      </w:r>
      <w:r w:rsidRPr="0081507C">
        <w:rPr>
          <w:rFonts w:ascii="Ahang DemiBoldSharp" w:hAnsi="Ahang DemiBoldSharp" w:cs="Ahang DemiBoldSharp"/>
          <w:sz w:val="21"/>
          <w:szCs w:val="21"/>
        </w:rPr>
        <w:t>:</w:t>
      </w:r>
    </w:p>
    <w:p w14:paraId="422B1CB0"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آقاي</w:t>
      </w:r>
      <w:r w:rsidRPr="0081507C">
        <w:rPr>
          <w:rFonts w:ascii="Ahang DemiBoldSharp" w:hAnsi="Ahang DemiBoldSharp" w:cs="Ahang DemiBoldSharp"/>
          <w:sz w:val="21"/>
          <w:szCs w:val="21"/>
          <w:rtl/>
        </w:rPr>
        <w:t xml:space="preserve"> ذوعلم: پيش از نقد، بايد مباني نظري پارسونز مشخص شود و سپس براساس آن مباني، نقد گردد. مباني نظري اين جامعه‌شناس عبارت‌اند از: مباني هستي‌شناختي، انسان‌شناختي، جامعه‌شناختي و ارزش‌شناختي ـ كه درباره‌ي آنها كمتر صحبت شد. شايد دليل بي‌توجهي به اين جنبه ا</w:t>
      </w:r>
      <w:r w:rsidRPr="0081507C">
        <w:rPr>
          <w:rFonts w:ascii="Ahang DemiBoldSharp" w:hAnsi="Ahang DemiBoldSharp" w:cs="Ahang DemiBoldSharp" w:hint="eastAsia"/>
          <w:sz w:val="21"/>
          <w:szCs w:val="21"/>
          <w:rtl/>
        </w:rPr>
        <w:t>ز</w:t>
      </w:r>
      <w:r w:rsidRPr="0081507C">
        <w:rPr>
          <w:rFonts w:ascii="Ahang DemiBoldSharp" w:hAnsi="Ahang DemiBoldSharp" w:cs="Ahang DemiBoldSharp"/>
          <w:sz w:val="21"/>
          <w:szCs w:val="21"/>
          <w:rtl/>
        </w:rPr>
        <w:t xml:space="preserve"> ديدگاه پارسونز اين باشد كه او از يك پايگاه اومانيستي به قضيه نگاه مي‌كند، بنابراين تصور ما اين است كه آن مباني در جاي ديگري نقد شده است، و ديگر نيازي به بحث مبنايي نيست</w:t>
      </w:r>
      <w:r w:rsidRPr="0081507C">
        <w:rPr>
          <w:rFonts w:ascii="Ahang DemiBoldSharp" w:hAnsi="Ahang DemiBoldSharp" w:cs="Ahang DemiBoldSharp"/>
          <w:sz w:val="21"/>
          <w:szCs w:val="21"/>
        </w:rPr>
        <w:t>.</w:t>
      </w:r>
    </w:p>
    <w:p w14:paraId="0AF8627C"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با</w:t>
      </w:r>
      <w:r w:rsidRPr="0081507C">
        <w:rPr>
          <w:rFonts w:ascii="Ahang DemiBoldSharp" w:hAnsi="Ahang DemiBoldSharp" w:cs="Ahang DemiBoldSharp"/>
          <w:sz w:val="21"/>
          <w:szCs w:val="21"/>
          <w:rtl/>
        </w:rPr>
        <w:t xml:space="preserve"> اين پيش‌فرض به نظر مي‌رسد كه برخي از اين نقدها درخور تأمل است. در نقدهايي كه در بخش اول، دوم و سوم مطرح شد، به نظر مي‌رسد كه پارسونز به جنبه‌هاي ذهني‌بودن و معنايي‌بودن فرهنگ بسيار تأكيد كرده، اما پرسش آن است كه تأكيد بر معنايي‌بودن و ذهني‌بودن فرهنگ ر</w:t>
      </w:r>
      <w:r w:rsidRPr="0081507C">
        <w:rPr>
          <w:rFonts w:ascii="Ahang DemiBoldSharp" w:hAnsi="Ahang DemiBoldSharp" w:cs="Ahang DemiBoldSharp" w:hint="eastAsia"/>
          <w:sz w:val="21"/>
          <w:szCs w:val="21"/>
          <w:rtl/>
        </w:rPr>
        <w:t>ا</w:t>
      </w:r>
      <w:r w:rsidRPr="0081507C">
        <w:rPr>
          <w:rFonts w:ascii="Ahang DemiBoldSharp" w:hAnsi="Ahang DemiBoldSharp" w:cs="Ahang DemiBoldSharp"/>
          <w:sz w:val="21"/>
          <w:szCs w:val="21"/>
          <w:rtl/>
        </w:rPr>
        <w:t xml:space="preserve"> چگونه مي‌توان با ديدگاه ايشان، كه فرهنگ را بيشتر ناظر به رفتارها مي‌داند، جمع كرد؟ شايد بتوان پاسخ اين پرسش را براساس مبنايي مطرح كرد كه خود پارسونز به آن پرداخته است. پارسونز دو تلقي و تعبير از فرهنگ دارد: 1. تلقي فرهنگ بالمعني الاعم، به گونه‌اي كه مي‌گ</w:t>
      </w:r>
      <w:r w:rsidRPr="0081507C">
        <w:rPr>
          <w:rFonts w:ascii="Ahang DemiBoldSharp" w:hAnsi="Ahang DemiBoldSharp" w:cs="Ahang DemiBoldSharp" w:hint="eastAsia"/>
          <w:sz w:val="21"/>
          <w:szCs w:val="21"/>
          <w:rtl/>
        </w:rPr>
        <w:t>ويد</w:t>
      </w:r>
      <w:r w:rsidRPr="0081507C">
        <w:rPr>
          <w:rFonts w:ascii="Ahang DemiBoldSharp" w:hAnsi="Ahang DemiBoldSharp" w:cs="Ahang DemiBoldSharp"/>
          <w:sz w:val="21"/>
          <w:szCs w:val="21"/>
          <w:rtl/>
        </w:rPr>
        <w:t xml:space="preserve"> حتي نظام اجتماعي، سياسي و اقتصادي هم تحت تأثير فرهنگ است. اين تلقي را مي‌توان از آن عبارتي برداشت كرد كه از حضور فرهنگ در همه‌جا حكايت مي‌كند؛ 2. تلقي فرهنگ بالمعني الاخص. آنجا كه او بحث الگوهاي ناظر به رفتار را مطرح مي‌كند و آن‌را در عرض نظام اقتصادي، اجتماعي و سياسي قرار مي‌دهد اين تلقي از فرهنگ را در نظر دارد</w:t>
      </w:r>
      <w:r w:rsidRPr="0081507C">
        <w:rPr>
          <w:rFonts w:ascii="Ahang DemiBoldSharp" w:hAnsi="Ahang DemiBoldSharp" w:cs="Ahang DemiBoldSharp"/>
          <w:sz w:val="21"/>
          <w:szCs w:val="21"/>
        </w:rPr>
        <w:t>.</w:t>
      </w:r>
    </w:p>
    <w:p w14:paraId="75E6DAA7"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نكته‌ي</w:t>
      </w:r>
      <w:r w:rsidRPr="0081507C">
        <w:rPr>
          <w:rFonts w:ascii="Ahang DemiBoldSharp" w:hAnsi="Ahang DemiBoldSharp" w:cs="Ahang DemiBoldSharp"/>
          <w:sz w:val="21"/>
          <w:szCs w:val="21"/>
          <w:rtl/>
        </w:rPr>
        <w:t xml:space="preserve"> ديگر تشويش و اضطرابي است كه در اين ديدگاه‌ها مشاهده مي‌شود و اساساً از خود تعبير «فرهنگ» سرچشمه مي‌گيرد؛ تعبيري كه مبهم، و چه بسا اعتباري و موهوم است و ما آن را واقعيت تلقي كرده‌ايم. چنين تشويشي در غرب، كه اين بحث به صورت جدي مطرح بوده، شايد از اين مسئله ناشي شده است كه آنها قصد داشته‌اند فرهنگ را به جاي دين بنشانند و بنابراين عرصه‌هاي معنوي و بحث‌هاي انگيزشي را كه وجود دارد به نوعي توجيه كنند؛ به همين دليل است كه مقوله‌ي فرهنگ را به صورت جدي در كنار نظام سياسي و اقتصادي مطرح كرده‌اند. برخلاف اين تل</w:t>
      </w:r>
      <w:r w:rsidRPr="0081507C">
        <w:rPr>
          <w:rFonts w:ascii="Ahang DemiBoldSharp" w:hAnsi="Ahang DemiBoldSharp" w:cs="Ahang DemiBoldSharp" w:hint="eastAsia"/>
          <w:sz w:val="21"/>
          <w:szCs w:val="21"/>
          <w:rtl/>
        </w:rPr>
        <w:t>اش،</w:t>
      </w:r>
      <w:r w:rsidRPr="0081507C">
        <w:rPr>
          <w:rFonts w:ascii="Ahang DemiBoldSharp" w:hAnsi="Ahang DemiBoldSharp" w:cs="Ahang DemiBoldSharp"/>
          <w:sz w:val="21"/>
          <w:szCs w:val="21"/>
          <w:rtl/>
        </w:rPr>
        <w:t xml:space="preserve"> تجزيه‌ و تحليل دقيق نشان مي‌دهد كه چه بسا اصلاً آنچه ما با عنوان فرهنگِ جوامع گوناگون مي‌شناسيم مقوله‌اي اعتباري است؛ يعني مجموعه‌اي از ارزش‌ها، نگرش‌ها، نمادها و چهارچوب‌هاي حاكم بر رفتار. اما هنگامي كه آنها را با هم درمي‌آميزيم ديگر نمي‌توانيم چهارچو</w:t>
      </w:r>
      <w:r w:rsidRPr="0081507C">
        <w:rPr>
          <w:rFonts w:ascii="Ahang DemiBoldSharp" w:hAnsi="Ahang DemiBoldSharp" w:cs="Ahang DemiBoldSharp" w:hint="eastAsia"/>
          <w:sz w:val="21"/>
          <w:szCs w:val="21"/>
          <w:rtl/>
        </w:rPr>
        <w:t>بي</w:t>
      </w:r>
      <w:r w:rsidRPr="0081507C">
        <w:rPr>
          <w:rFonts w:ascii="Ahang DemiBoldSharp" w:hAnsi="Ahang DemiBoldSharp" w:cs="Ahang DemiBoldSharp"/>
          <w:sz w:val="21"/>
          <w:szCs w:val="21"/>
          <w:rtl/>
        </w:rPr>
        <w:t xml:space="preserve"> علمي براي آنها در نظر گيريم</w:t>
      </w:r>
      <w:r w:rsidRPr="0081507C">
        <w:rPr>
          <w:rFonts w:ascii="Ahang DemiBoldSharp" w:hAnsi="Ahang DemiBoldSharp" w:cs="Ahang DemiBoldSharp"/>
          <w:sz w:val="21"/>
          <w:szCs w:val="21"/>
        </w:rPr>
        <w:t>.</w:t>
      </w:r>
    </w:p>
    <w:p w14:paraId="345F2DEF"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در</w:t>
      </w:r>
      <w:r w:rsidRPr="0081507C">
        <w:rPr>
          <w:rFonts w:ascii="Ahang DemiBoldSharp" w:hAnsi="Ahang DemiBoldSharp" w:cs="Ahang DemiBoldSharp"/>
          <w:sz w:val="21"/>
          <w:szCs w:val="21"/>
          <w:rtl/>
        </w:rPr>
        <w:t xml:space="preserve"> آغاز به نكته‌ي مهم ارتباط تعاريف با نظريه‌ها و تفكيك‌ناپذير بودن آنها از يكديگر اشاره شد. در همه‌ي اين بحث‌ها هم اين موضوع روشن گرديد كه پشت هر تعريفي يك نظريه است كه اگر تحليل شود، مي‌توان آن تعريف را هم نقد و بررسي كرد</w:t>
      </w:r>
      <w:r w:rsidRPr="0081507C">
        <w:rPr>
          <w:rFonts w:ascii="Ahang DemiBoldSharp" w:hAnsi="Ahang DemiBoldSharp" w:cs="Ahang DemiBoldSharp"/>
          <w:sz w:val="21"/>
          <w:szCs w:val="21"/>
        </w:rPr>
        <w:t>.</w:t>
      </w:r>
    </w:p>
    <w:p w14:paraId="4271E7A4"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آقاي</w:t>
      </w:r>
      <w:r w:rsidRPr="0081507C">
        <w:rPr>
          <w:rFonts w:ascii="Ahang DemiBoldSharp" w:hAnsi="Ahang DemiBoldSharp" w:cs="Ahang DemiBoldSharp"/>
          <w:sz w:val="21"/>
          <w:szCs w:val="21"/>
          <w:rtl/>
        </w:rPr>
        <w:t xml:space="preserve"> نادري: شايد نخستين نقد وارد به پارسونز بيشتر به جامعه‌ي علمي كشور مربوط باشد؛ زيرا در اخذ ادبيات غرب و سير ترجمه‌ي انديشه‌ها، مفاهيم درست منتقل نشده است و افرادي به اين نظريه‌ها مطالبي افزوده يا از آن كم كرده‌اند. در تحليل تفكر پارسونز </w:t>
      </w:r>
      <w:r w:rsidRPr="0081507C">
        <w:rPr>
          <w:rFonts w:ascii="Ahang DemiBoldSharp" w:hAnsi="Ahang DemiBoldSharp" w:cs="Ahang DemiBoldSharp"/>
          <w:sz w:val="21"/>
          <w:szCs w:val="21"/>
          <w:rtl/>
        </w:rPr>
        <w:lastRenderedPageBreak/>
        <w:t>نيز ممكن است د</w:t>
      </w:r>
      <w:r w:rsidRPr="0081507C">
        <w:rPr>
          <w:rFonts w:ascii="Ahang DemiBoldSharp" w:hAnsi="Ahang DemiBoldSharp" w:cs="Ahang DemiBoldSharp" w:hint="eastAsia"/>
          <w:sz w:val="21"/>
          <w:szCs w:val="21"/>
          <w:rtl/>
        </w:rPr>
        <w:t>و</w:t>
      </w:r>
      <w:r w:rsidRPr="0081507C">
        <w:rPr>
          <w:rFonts w:ascii="Ahang DemiBoldSharp" w:hAnsi="Ahang DemiBoldSharp" w:cs="Ahang DemiBoldSharp"/>
          <w:sz w:val="21"/>
          <w:szCs w:val="21"/>
          <w:rtl/>
        </w:rPr>
        <w:t xml:space="preserve"> صاحب‌نظر به يك شكل عمل نكنند و هر يك ديدگاه او را به گونه‌اي خاص مطرح كنند. براي رهايي از اين تفاوت‌ها و اختلاف نظرها، رمزگشايي از عقايد نظريه‌پردازان و انديشمندان راهكار مناسبي به نظر مي‌رسد. در رمزگشايي بايد به اين موضوع توجه شود كه هر متفكر چهارچوب نس</w:t>
      </w:r>
      <w:r w:rsidRPr="0081507C">
        <w:rPr>
          <w:rFonts w:ascii="Ahang DemiBoldSharp" w:hAnsi="Ahang DemiBoldSharp" w:cs="Ahang DemiBoldSharp" w:hint="eastAsia"/>
          <w:sz w:val="21"/>
          <w:szCs w:val="21"/>
          <w:rtl/>
        </w:rPr>
        <w:t>بتاً</w:t>
      </w:r>
      <w:r w:rsidRPr="0081507C">
        <w:rPr>
          <w:rFonts w:ascii="Ahang DemiBoldSharp" w:hAnsi="Ahang DemiBoldSharp" w:cs="Ahang DemiBoldSharp"/>
          <w:sz w:val="21"/>
          <w:szCs w:val="21"/>
          <w:rtl/>
        </w:rPr>
        <w:t xml:space="preserve"> مشخصي به دست داده است كه براي تحليل انديشه‌ي او توجه به آن چهارچوب ضروري است. به سخن ديگر تحليل درست به در نظر گرفتن اين چهارچوب وابسته است</w:t>
      </w:r>
      <w:r w:rsidRPr="0081507C">
        <w:rPr>
          <w:rFonts w:ascii="Ahang DemiBoldSharp" w:hAnsi="Ahang DemiBoldSharp" w:cs="Ahang DemiBoldSharp"/>
          <w:sz w:val="21"/>
          <w:szCs w:val="21"/>
        </w:rPr>
        <w:t>.</w:t>
      </w:r>
    </w:p>
    <w:p w14:paraId="26D052CD"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براي</w:t>
      </w:r>
      <w:r w:rsidRPr="0081507C">
        <w:rPr>
          <w:rFonts w:ascii="Ahang DemiBoldSharp" w:hAnsi="Ahang DemiBoldSharp" w:cs="Ahang DemiBoldSharp"/>
          <w:sz w:val="21"/>
          <w:szCs w:val="21"/>
          <w:rtl/>
        </w:rPr>
        <w:t xml:space="preserve"> مثال در نقد ديدگاه پارسونز به نظريه‌ي كنش اشاره شد. اما پيش از نقد، بايد معناي عبارت «كنش اجتماعي» يا نظريه‌ي كنش براساس چهارچوب پارسونز مشخص شود. دسته‌اي مي‌گويند «كنش» عمل نيست و برخي ديگر عمل و عكس‌العمل را كنش مي‌دانند، درحالي‌كه واژه‌ي «كنش» در </w:t>
      </w:r>
      <w:r w:rsidRPr="0081507C">
        <w:rPr>
          <w:rFonts w:ascii="Ahang DemiBoldSharp" w:hAnsi="Ahang DemiBoldSharp" w:cs="Ahang DemiBoldSharp" w:hint="eastAsia"/>
          <w:sz w:val="21"/>
          <w:szCs w:val="21"/>
          <w:rtl/>
        </w:rPr>
        <w:t>انديشه‌ي</w:t>
      </w:r>
      <w:r w:rsidRPr="0081507C">
        <w:rPr>
          <w:rFonts w:ascii="Ahang DemiBoldSharp" w:hAnsi="Ahang DemiBoldSharp" w:cs="Ahang DemiBoldSharp"/>
          <w:sz w:val="21"/>
          <w:szCs w:val="21"/>
          <w:rtl/>
        </w:rPr>
        <w:t xml:space="preserve"> پارسونز جايگاه دارد</w:t>
      </w:r>
      <w:r w:rsidRPr="0081507C">
        <w:rPr>
          <w:rFonts w:ascii="Ahang DemiBoldSharp" w:hAnsi="Ahang DemiBoldSharp" w:cs="Ahang DemiBoldSharp"/>
          <w:sz w:val="21"/>
          <w:szCs w:val="21"/>
        </w:rPr>
        <w:t>.</w:t>
      </w:r>
    </w:p>
    <w:p w14:paraId="21053C3F"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در</w:t>
      </w:r>
      <w:r w:rsidRPr="0081507C">
        <w:rPr>
          <w:rFonts w:ascii="Ahang DemiBoldSharp" w:hAnsi="Ahang DemiBoldSharp" w:cs="Ahang DemiBoldSharp"/>
          <w:sz w:val="21"/>
          <w:szCs w:val="21"/>
          <w:rtl/>
        </w:rPr>
        <w:t xml:space="preserve"> جهان‌بيني، محوري مطرح است با عنوان «عمل‌شناسي»؛ يعني هر فيلسوف و نظريه‌پردازي كه قصد دارد در هر مقوله‌اي نظريه‌پردازي كند بايد تكليفش را نسبت به عمل مشخص كند. در عمل‌شناسي بحث الگوها مطرح مي‌شود؛ يعني به اين پرسش استاندارد بايد پاسخ داد كه آيا جهان الگ</w:t>
      </w:r>
      <w:r w:rsidRPr="0081507C">
        <w:rPr>
          <w:rFonts w:ascii="Ahang DemiBoldSharp" w:hAnsi="Ahang DemiBoldSharp" w:cs="Ahang DemiBoldSharp" w:hint="eastAsia"/>
          <w:sz w:val="21"/>
          <w:szCs w:val="21"/>
          <w:rtl/>
        </w:rPr>
        <w:t>و</w:t>
      </w:r>
      <w:r w:rsidRPr="0081507C">
        <w:rPr>
          <w:rFonts w:ascii="Ahang DemiBoldSharp" w:hAnsi="Ahang DemiBoldSharp" w:cs="Ahang DemiBoldSharp"/>
          <w:sz w:val="21"/>
          <w:szCs w:val="21"/>
          <w:rtl/>
        </w:rPr>
        <w:t xml:space="preserve"> و نظم دارد. پارسونز از اين زاويه انديشه‌ورزي كرده و بعد كوشيده است عمل اجتماعي را از زاويه‌ي عمل‌شناسي بررسي كند؛ از همين‌رو ‌بحث الگوسازي براي او جايگاه مبنايي پيدا كرده است. پارسونز به دنبال الگو و نظم و اساساً قاعده‌اي براي تفسير الگوي عمل است؛ يعني ا</w:t>
      </w:r>
      <w:r w:rsidRPr="0081507C">
        <w:rPr>
          <w:rFonts w:ascii="Ahang DemiBoldSharp" w:hAnsi="Ahang DemiBoldSharp" w:cs="Ahang DemiBoldSharp" w:hint="eastAsia"/>
          <w:sz w:val="21"/>
          <w:szCs w:val="21"/>
          <w:rtl/>
        </w:rPr>
        <w:t>و</w:t>
      </w:r>
      <w:r w:rsidRPr="0081507C">
        <w:rPr>
          <w:rFonts w:ascii="Ahang DemiBoldSharp" w:hAnsi="Ahang DemiBoldSharp" w:cs="Ahang DemiBoldSharp"/>
          <w:sz w:val="21"/>
          <w:szCs w:val="21"/>
          <w:rtl/>
        </w:rPr>
        <w:t xml:space="preserve"> در پي پاسخ به اين پرسش است كه عمل چگونه انجام مي‌شود. پارسونز از الگوي كدگذاري عمل بحث مي‌كند. يك عمل در جامعه چگونه كدگذاري مي‌شود؛ يعني پيش‌فرض اين است كه ما هنگامي كه عملي انجام مي‌دهيم رمزگشايي مي‌كنيم. بعد از كدگذاري، الگوي در پس اين كدگذاري را يك ا</w:t>
      </w:r>
      <w:r w:rsidRPr="0081507C">
        <w:rPr>
          <w:rFonts w:ascii="Ahang DemiBoldSharp" w:hAnsi="Ahang DemiBoldSharp" w:cs="Ahang DemiBoldSharp" w:hint="eastAsia"/>
          <w:sz w:val="21"/>
          <w:szCs w:val="21"/>
          <w:rtl/>
        </w:rPr>
        <w:t>لگوي</w:t>
      </w:r>
      <w:r w:rsidRPr="0081507C">
        <w:rPr>
          <w:rFonts w:ascii="Ahang DemiBoldSharp" w:hAnsi="Ahang DemiBoldSharp" w:cs="Ahang DemiBoldSharp"/>
          <w:sz w:val="21"/>
          <w:szCs w:val="21"/>
          <w:rtl/>
        </w:rPr>
        <w:t xml:space="preserve"> سايبرنتيك معرفي كرد. در الگوي سايبرنتيك فضا و مكان اهميت بسيار دارد؛ زيرا جهت‌دهنده و معنابخش الگو و عمل شمرده مي‌شود. بحث سوم هاي‌راكي است؛ پارسونز از وجود يك سلسله‌ مراتب سخن مي‌گويد؛ يعني هنگامي كه الگو مي‌خواهد در فضايي سايبرنتيك شكل گيرد، سلسله‌م</w:t>
      </w:r>
      <w:r w:rsidRPr="0081507C">
        <w:rPr>
          <w:rFonts w:ascii="Ahang DemiBoldSharp" w:hAnsi="Ahang DemiBoldSharp" w:cs="Ahang DemiBoldSharp" w:hint="eastAsia"/>
          <w:sz w:val="21"/>
          <w:szCs w:val="21"/>
          <w:rtl/>
        </w:rPr>
        <w:t>راتبي</w:t>
      </w:r>
      <w:r w:rsidRPr="0081507C">
        <w:rPr>
          <w:rFonts w:ascii="Ahang DemiBoldSharp" w:hAnsi="Ahang DemiBoldSharp" w:cs="Ahang DemiBoldSharp"/>
          <w:sz w:val="21"/>
          <w:szCs w:val="21"/>
          <w:rtl/>
        </w:rPr>
        <w:t xml:space="preserve"> حاكم است و يك نظامي ايجاد مي‌كند. او از اين سلسله‌مراتب با عنوان چهار تكليف ياد كرده و گفته است ما چهار حكم اساسي داريم: 1. تطبيق؛ 2. اصول؛ 3. يكپارچگي؛ 4. نگه‌داشت الگو</w:t>
      </w:r>
      <w:r w:rsidRPr="0081507C">
        <w:rPr>
          <w:rFonts w:ascii="Ahang DemiBoldSharp" w:hAnsi="Ahang DemiBoldSharp" w:cs="Ahang DemiBoldSharp"/>
          <w:sz w:val="21"/>
          <w:szCs w:val="21"/>
        </w:rPr>
        <w:t>.</w:t>
      </w:r>
    </w:p>
    <w:p w14:paraId="60E4F216"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اشكال</w:t>
      </w:r>
      <w:r w:rsidRPr="0081507C">
        <w:rPr>
          <w:rFonts w:ascii="Ahang DemiBoldSharp" w:hAnsi="Ahang DemiBoldSharp" w:cs="Ahang DemiBoldSharp"/>
          <w:sz w:val="21"/>
          <w:szCs w:val="21"/>
          <w:rtl/>
        </w:rPr>
        <w:t xml:space="preserve"> اساسي آن است كه پارسونز در حوزه‌ي جهان‌بيني، بايد مطرح مي‌كرد كه جهان نظم و الگو دارد، اين الگو مبتني بر واقعيتي شكل مي‌گيرد و اين واقعيت ابعاد ذهني و عيني دارد. او از اين مباحث سخني نگفته و خواسته است در ماديت و تفسيري كه از ماديت بيان مي‌كند، ساخت الگو را تبيين كند</w:t>
      </w:r>
      <w:r w:rsidRPr="0081507C">
        <w:rPr>
          <w:rFonts w:ascii="Ahang DemiBoldSharp" w:hAnsi="Ahang DemiBoldSharp" w:cs="Ahang DemiBoldSharp"/>
          <w:sz w:val="21"/>
          <w:szCs w:val="21"/>
        </w:rPr>
        <w:t>.</w:t>
      </w:r>
    </w:p>
    <w:p w14:paraId="4A280E7B"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سؤال</w:t>
      </w:r>
      <w:r w:rsidRPr="0081507C">
        <w:rPr>
          <w:rFonts w:ascii="Ahang DemiBoldSharp" w:hAnsi="Ahang DemiBoldSharp" w:cs="Ahang DemiBoldSharp"/>
          <w:sz w:val="21"/>
          <w:szCs w:val="21"/>
          <w:rtl/>
        </w:rPr>
        <w:t xml:space="preserve">: درباره‌ي تأكيد پارسونز بر وجه آموزشي فرهنگ، بايد به تعلق او به مكتب كلاسيك نوسازي توجه كرد. اين جامعه‌شناس ضمن برشمردن الگوها يا متغيرهاي پنج‌گانه بر رويكردي خطي تأكيد مي‌كند و معتقد است جوامع سنتي براي اينكه به وضع جوامع مدرن دست يابند بايد از اين </w:t>
      </w:r>
      <w:r w:rsidRPr="0081507C">
        <w:rPr>
          <w:rFonts w:ascii="Ahang DemiBoldSharp" w:hAnsi="Ahang DemiBoldSharp" w:cs="Ahang DemiBoldSharp" w:hint="eastAsia"/>
          <w:sz w:val="21"/>
          <w:szCs w:val="21"/>
          <w:rtl/>
        </w:rPr>
        <w:t>متغيرهاي</w:t>
      </w:r>
      <w:r w:rsidRPr="0081507C">
        <w:rPr>
          <w:rFonts w:ascii="Ahang DemiBoldSharp" w:hAnsi="Ahang DemiBoldSharp" w:cs="Ahang DemiBoldSharp"/>
          <w:sz w:val="21"/>
          <w:szCs w:val="21"/>
          <w:rtl/>
        </w:rPr>
        <w:t xml:space="preserve"> پنجگانه تبعيت كنند. به نظر مي‌رسد غفلت پارسونز از وجه غريزي و فطري فرهنگ و تأكيد او بر وجه آموزشي و فراگيري فرهنگ از اين مسئله ناشي باشد كه در نظر او، جوامع سنتي براي رسيدن به حالت مدرن بايد به دنبال آموزش و عقلانيت باشند. تأكيد بر همين آموزش و عق</w:t>
      </w:r>
      <w:r w:rsidRPr="0081507C">
        <w:rPr>
          <w:rFonts w:ascii="Ahang DemiBoldSharp" w:hAnsi="Ahang DemiBoldSharp" w:cs="Ahang DemiBoldSharp" w:hint="eastAsia"/>
          <w:sz w:val="21"/>
          <w:szCs w:val="21"/>
          <w:rtl/>
        </w:rPr>
        <w:t>لانيت</w:t>
      </w:r>
      <w:r w:rsidRPr="0081507C">
        <w:rPr>
          <w:rFonts w:ascii="Ahang DemiBoldSharp" w:hAnsi="Ahang DemiBoldSharp" w:cs="Ahang DemiBoldSharp"/>
          <w:sz w:val="21"/>
          <w:szCs w:val="21"/>
          <w:rtl/>
        </w:rPr>
        <w:t xml:space="preserve"> موجب مي‌شود پارسونز از وجه غريزي و فطري فرهنگ غفلت كند</w:t>
      </w:r>
      <w:r w:rsidRPr="0081507C">
        <w:rPr>
          <w:rFonts w:ascii="Ahang DemiBoldSharp" w:hAnsi="Ahang DemiBoldSharp" w:cs="Ahang DemiBoldSharp"/>
          <w:sz w:val="21"/>
          <w:szCs w:val="21"/>
        </w:rPr>
        <w:t>.</w:t>
      </w:r>
    </w:p>
    <w:p w14:paraId="7DC07260"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آقاي</w:t>
      </w:r>
      <w:r w:rsidRPr="0081507C">
        <w:rPr>
          <w:rFonts w:ascii="Ahang DemiBoldSharp" w:hAnsi="Ahang DemiBoldSharp" w:cs="Ahang DemiBoldSharp"/>
          <w:sz w:val="21"/>
          <w:szCs w:val="21"/>
          <w:rtl/>
        </w:rPr>
        <w:t xml:space="preserve"> چقماقي: به نظر مي‌رسد پارسونز، با اصالتي كه به فرهنگ مي‌دهد و تأكيدي كه بر وجهه‌ي آموزشي آن مي‌كند، از بُعد خلاقانه‌اي كه بايد براي انسان درنظر گيرد غفلت مي‌كند، و مسئوليت‌پذيري او در قبال رفتار و كنش خود و نيز در برابر جامعه و فرهنگ كاملاً ناديده مي</w:t>
      </w:r>
      <w:r w:rsidRPr="0081507C">
        <w:rPr>
          <w:rFonts w:ascii="Ahang DemiBoldSharp" w:hAnsi="Ahang DemiBoldSharp" w:cs="Ahang DemiBoldSharp" w:hint="eastAsia"/>
          <w:sz w:val="21"/>
          <w:szCs w:val="21"/>
          <w:rtl/>
        </w:rPr>
        <w:t>‌گيرد</w:t>
      </w:r>
      <w:r w:rsidRPr="0081507C">
        <w:rPr>
          <w:rFonts w:ascii="Ahang DemiBoldSharp" w:hAnsi="Ahang DemiBoldSharp" w:cs="Ahang DemiBoldSharp"/>
          <w:sz w:val="21"/>
          <w:szCs w:val="21"/>
          <w:rtl/>
        </w:rPr>
        <w:t>. اين مسئوليت‌پذيري در هر سه بعد از انسان برداشته مي‌شود، حال آنكه پارسونز به آن بي‌توجهي كرده است</w:t>
      </w:r>
      <w:r w:rsidRPr="0081507C">
        <w:rPr>
          <w:rFonts w:ascii="Ahang DemiBoldSharp" w:hAnsi="Ahang DemiBoldSharp" w:cs="Ahang DemiBoldSharp"/>
          <w:sz w:val="21"/>
          <w:szCs w:val="21"/>
        </w:rPr>
        <w:t>.</w:t>
      </w:r>
    </w:p>
    <w:p w14:paraId="5AF0CA14"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hint="eastAsia"/>
          <w:sz w:val="21"/>
          <w:szCs w:val="21"/>
        </w:rPr>
        <w:t> </w:t>
      </w:r>
      <w:r w:rsidRPr="0081507C">
        <w:rPr>
          <w:rFonts w:ascii="Ahang DemiBoldSharp" w:hAnsi="Ahang DemiBoldSharp" w:cs="Ahang DemiBoldSharp" w:hint="eastAsia"/>
          <w:sz w:val="21"/>
          <w:szCs w:val="21"/>
          <w:rtl/>
        </w:rPr>
        <w:t>سؤال</w:t>
      </w:r>
      <w:r w:rsidRPr="0081507C">
        <w:rPr>
          <w:rFonts w:ascii="Ahang DemiBoldSharp" w:hAnsi="Ahang DemiBoldSharp" w:cs="Ahang DemiBoldSharp"/>
          <w:sz w:val="21"/>
          <w:szCs w:val="21"/>
          <w:rtl/>
        </w:rPr>
        <w:t>: امثال پارسونز معمولاً به خود شخصيتي مي‌دهند كه ظاهراً از حيطه‌ي تسلط جبر جامعه و جبر فكري بيرون هستند و از بيرون به آن نگاه مي‌كند. جبرگراييِ تأكيد شده نزد پارسونز بايد دامن خود او را هم بگيرد و نظريات او هم مشمول جبرگرايي شود. در حوزه‌ي فكري و فلسف</w:t>
      </w:r>
      <w:r w:rsidRPr="0081507C">
        <w:rPr>
          <w:rFonts w:ascii="Ahang DemiBoldSharp" w:hAnsi="Ahang DemiBoldSharp" w:cs="Ahang DemiBoldSharp" w:hint="eastAsia"/>
          <w:sz w:val="21"/>
          <w:szCs w:val="21"/>
          <w:rtl/>
        </w:rPr>
        <w:t>ي</w:t>
      </w:r>
      <w:r w:rsidRPr="0081507C">
        <w:rPr>
          <w:rFonts w:ascii="Ahang DemiBoldSharp" w:hAnsi="Ahang DemiBoldSharp" w:cs="Ahang DemiBoldSharp"/>
          <w:sz w:val="21"/>
          <w:szCs w:val="21"/>
          <w:rtl/>
        </w:rPr>
        <w:t xml:space="preserve"> هم همين‌طور است؛ هگل و هايدگر خود را مسلط بر جامعه و تفكر مي‌دانند. پارسونز هم تصور مي‌كند بيرون از فرهنگ و جامعه است و از بالا به فرهنگ نگاه مي‌كند. اما مي‌توان نظر ديگري هم مطرح كرد و گفت در فرهنگ بايد </w:t>
      </w:r>
      <w:r w:rsidRPr="0081507C">
        <w:rPr>
          <w:rFonts w:ascii="Ahang DemiBoldSharp" w:hAnsi="Ahang DemiBoldSharp" w:cs="Ahang DemiBoldSharp"/>
          <w:sz w:val="21"/>
          <w:szCs w:val="21"/>
          <w:rtl/>
        </w:rPr>
        <w:lastRenderedPageBreak/>
        <w:t>جبرگرايي را پذيرفت، ولي در ميان مردم، انسان‌هاي خا</w:t>
      </w:r>
      <w:r w:rsidRPr="0081507C">
        <w:rPr>
          <w:rFonts w:ascii="Ahang DemiBoldSharp" w:hAnsi="Ahang DemiBoldSharp" w:cs="Ahang DemiBoldSharp" w:hint="eastAsia"/>
          <w:sz w:val="21"/>
          <w:szCs w:val="21"/>
          <w:rtl/>
        </w:rPr>
        <w:t>صي</w:t>
      </w:r>
      <w:r w:rsidRPr="0081507C">
        <w:rPr>
          <w:rFonts w:ascii="Ahang DemiBoldSharp" w:hAnsi="Ahang DemiBoldSharp" w:cs="Ahang DemiBoldSharp"/>
          <w:sz w:val="21"/>
          <w:szCs w:val="21"/>
          <w:rtl/>
        </w:rPr>
        <w:t xml:space="preserve"> هستند كه خلاقيت فكري و ذهني دارند و مي‌توانند از جبر فرهنگ خارج شوند؛ در مورد شخصيت‌هاي ديني و يا شخصيت‌هاي انقلابي و علميِ مهم اين اتفاق مي‌افتد</w:t>
      </w:r>
      <w:r w:rsidRPr="0081507C">
        <w:rPr>
          <w:rFonts w:ascii="Ahang DemiBoldSharp" w:hAnsi="Ahang DemiBoldSharp" w:cs="Ahang DemiBoldSharp"/>
          <w:sz w:val="21"/>
          <w:szCs w:val="21"/>
        </w:rPr>
        <w:t>.</w:t>
      </w:r>
    </w:p>
    <w:p w14:paraId="62854F2F" w14:textId="77777777" w:rsidR="0081507C" w:rsidRPr="0081507C" w:rsidRDefault="0081507C" w:rsidP="0081507C">
      <w:pPr>
        <w:jc w:val="right"/>
        <w:rPr>
          <w:rFonts w:ascii="Ahang DemiBoldSharp" w:hAnsi="Ahang DemiBoldSharp" w:cs="Ahang DemiBoldSharp"/>
          <w:sz w:val="21"/>
          <w:szCs w:val="21"/>
        </w:rPr>
      </w:pPr>
    </w:p>
    <w:p w14:paraId="2F3BA9D3"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[1</w:t>
      </w:r>
      <w:proofErr w:type="gramStart"/>
      <w:r w:rsidRPr="0081507C">
        <w:rPr>
          <w:rFonts w:ascii="Ahang DemiBoldSharp" w:hAnsi="Ahang DemiBoldSharp" w:cs="Ahang DemiBoldSharp"/>
          <w:sz w:val="21"/>
          <w:szCs w:val="21"/>
        </w:rPr>
        <w:t>] .</w:t>
      </w:r>
      <w:proofErr w:type="gramEnd"/>
      <w:r w:rsidRPr="0081507C">
        <w:rPr>
          <w:rFonts w:ascii="Ahang DemiBoldSharp" w:hAnsi="Ahang DemiBoldSharp" w:cs="Ahang DemiBoldSharp"/>
          <w:sz w:val="21"/>
          <w:szCs w:val="21"/>
        </w:rPr>
        <w:t xml:space="preserve"> Symbolic.</w:t>
      </w:r>
    </w:p>
    <w:p w14:paraId="1EEEBEC6"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[2</w:t>
      </w:r>
      <w:proofErr w:type="gramStart"/>
      <w:r w:rsidRPr="0081507C">
        <w:rPr>
          <w:rFonts w:ascii="Ahang DemiBoldSharp" w:hAnsi="Ahang DemiBoldSharp" w:cs="Ahang DemiBoldSharp"/>
          <w:sz w:val="21"/>
          <w:szCs w:val="21"/>
        </w:rPr>
        <w:t>] .</w:t>
      </w:r>
      <w:proofErr w:type="gramEnd"/>
      <w:r w:rsidRPr="0081507C">
        <w:rPr>
          <w:rFonts w:ascii="Ahang DemiBoldSharp" w:hAnsi="Ahang DemiBoldSharp" w:cs="Ahang DemiBoldSharp"/>
          <w:sz w:val="21"/>
          <w:szCs w:val="21"/>
        </w:rPr>
        <w:t xml:space="preserve"> Subjective.</w:t>
      </w:r>
    </w:p>
    <w:p w14:paraId="48197178"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[3</w:t>
      </w:r>
      <w:proofErr w:type="gramStart"/>
      <w:r w:rsidRPr="0081507C">
        <w:rPr>
          <w:rFonts w:ascii="Ahang DemiBoldSharp" w:hAnsi="Ahang DemiBoldSharp" w:cs="Ahang DemiBoldSharp"/>
          <w:sz w:val="21"/>
          <w:szCs w:val="21"/>
        </w:rPr>
        <w:t>] .</w:t>
      </w:r>
      <w:proofErr w:type="gramEnd"/>
      <w:r w:rsidRPr="0081507C">
        <w:rPr>
          <w:rFonts w:ascii="Ahang DemiBoldSharp" w:hAnsi="Ahang DemiBoldSharp" w:cs="Ahang DemiBoldSharp"/>
          <w:sz w:val="21"/>
          <w:szCs w:val="21"/>
        </w:rPr>
        <w:t xml:space="preserve"> Distribution.</w:t>
      </w:r>
    </w:p>
    <w:p w14:paraId="1322E3A2"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[4</w:t>
      </w:r>
      <w:proofErr w:type="gramStart"/>
      <w:r w:rsidRPr="0081507C">
        <w:rPr>
          <w:rFonts w:ascii="Ahang DemiBoldSharp" w:hAnsi="Ahang DemiBoldSharp" w:cs="Ahang DemiBoldSharp"/>
          <w:sz w:val="21"/>
          <w:szCs w:val="21"/>
        </w:rPr>
        <w:t>] .</w:t>
      </w:r>
      <w:proofErr w:type="gramEnd"/>
      <w:r w:rsidRPr="0081507C">
        <w:rPr>
          <w:rFonts w:ascii="Ahang DemiBoldSharp" w:hAnsi="Ahang DemiBoldSharp" w:cs="Ahang DemiBoldSharp"/>
          <w:sz w:val="21"/>
          <w:szCs w:val="21"/>
        </w:rPr>
        <w:t xml:space="preserve"> Socialization.</w:t>
      </w:r>
    </w:p>
    <w:p w14:paraId="3C838BED"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[5</w:t>
      </w:r>
      <w:proofErr w:type="gramStart"/>
      <w:r w:rsidRPr="0081507C">
        <w:rPr>
          <w:rFonts w:ascii="Ahang DemiBoldSharp" w:hAnsi="Ahang DemiBoldSharp" w:cs="Ahang DemiBoldSharp"/>
          <w:sz w:val="21"/>
          <w:szCs w:val="21"/>
        </w:rPr>
        <w:t>] .</w:t>
      </w:r>
      <w:proofErr w:type="gramEnd"/>
      <w:r w:rsidRPr="0081507C">
        <w:rPr>
          <w:rFonts w:ascii="Ahang DemiBoldSharp" w:hAnsi="Ahang DemiBoldSharp" w:cs="Ahang DemiBoldSharp"/>
          <w:sz w:val="21"/>
          <w:szCs w:val="21"/>
        </w:rPr>
        <w:t xml:space="preserve"> the fact.</w:t>
      </w:r>
    </w:p>
    <w:p w14:paraId="1D9BE747"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[6</w:t>
      </w:r>
      <w:proofErr w:type="gramStart"/>
      <w:r w:rsidRPr="0081507C">
        <w:rPr>
          <w:rFonts w:ascii="Ahang DemiBoldSharp" w:hAnsi="Ahang DemiBoldSharp" w:cs="Ahang DemiBoldSharp"/>
          <w:sz w:val="21"/>
          <w:szCs w:val="21"/>
        </w:rPr>
        <w:t>] .</w:t>
      </w:r>
      <w:proofErr w:type="gramEnd"/>
      <w:r w:rsidRPr="0081507C">
        <w:rPr>
          <w:rFonts w:ascii="Ahang DemiBoldSharp" w:hAnsi="Ahang DemiBoldSharp" w:cs="Ahang DemiBoldSharp"/>
          <w:sz w:val="21"/>
          <w:szCs w:val="21"/>
        </w:rPr>
        <w:t xml:space="preserve"> learning.</w:t>
      </w:r>
    </w:p>
    <w:p w14:paraId="01046304"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[7</w:t>
      </w:r>
      <w:proofErr w:type="gramStart"/>
      <w:r w:rsidRPr="0081507C">
        <w:rPr>
          <w:rFonts w:ascii="Ahang DemiBoldSharp" w:hAnsi="Ahang DemiBoldSharp" w:cs="Ahang DemiBoldSharp"/>
          <w:sz w:val="21"/>
          <w:szCs w:val="21"/>
        </w:rPr>
        <w:t>] .</w:t>
      </w:r>
      <w:proofErr w:type="gramEnd"/>
      <w:r w:rsidRPr="0081507C">
        <w:rPr>
          <w:rFonts w:ascii="Ahang DemiBoldSharp" w:hAnsi="Ahang DemiBoldSharp" w:cs="Ahang DemiBoldSharp"/>
          <w:sz w:val="21"/>
          <w:szCs w:val="21"/>
        </w:rPr>
        <w:t xml:space="preserve"> diffusion.</w:t>
      </w:r>
    </w:p>
    <w:p w14:paraId="20574A3A"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[8</w:t>
      </w:r>
      <w:proofErr w:type="gramStart"/>
      <w:r w:rsidRPr="0081507C">
        <w:rPr>
          <w:rFonts w:ascii="Ahang DemiBoldSharp" w:hAnsi="Ahang DemiBoldSharp" w:cs="Ahang DemiBoldSharp"/>
          <w:sz w:val="21"/>
          <w:szCs w:val="21"/>
        </w:rPr>
        <w:t>] .</w:t>
      </w:r>
      <w:proofErr w:type="gramEnd"/>
      <w:r w:rsidRPr="0081507C">
        <w:rPr>
          <w:rFonts w:ascii="Ahang DemiBoldSharp" w:hAnsi="Ahang DemiBoldSharp" w:cs="Ahang DemiBoldSharp"/>
          <w:sz w:val="21"/>
          <w:szCs w:val="21"/>
        </w:rPr>
        <w:t xml:space="preserve"> action system.</w:t>
      </w:r>
    </w:p>
    <w:p w14:paraId="4FC74845"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[9</w:t>
      </w:r>
      <w:proofErr w:type="gramStart"/>
      <w:r w:rsidRPr="0081507C">
        <w:rPr>
          <w:rFonts w:ascii="Ahang DemiBoldSharp" w:hAnsi="Ahang DemiBoldSharp" w:cs="Ahang DemiBoldSharp"/>
          <w:sz w:val="21"/>
          <w:szCs w:val="21"/>
        </w:rPr>
        <w:t>] .</w:t>
      </w:r>
      <w:proofErr w:type="gramEnd"/>
      <w:r w:rsidRPr="0081507C">
        <w:rPr>
          <w:rFonts w:ascii="Ahang DemiBoldSharp" w:hAnsi="Ahang DemiBoldSharp" w:cs="Ahang DemiBoldSharp"/>
          <w:sz w:val="21"/>
          <w:szCs w:val="21"/>
        </w:rPr>
        <w:t xml:space="preserve"> Supervision.</w:t>
      </w:r>
    </w:p>
    <w:p w14:paraId="2B2C630F"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[10</w:t>
      </w:r>
      <w:proofErr w:type="gramStart"/>
      <w:r w:rsidRPr="0081507C">
        <w:rPr>
          <w:rFonts w:ascii="Ahang DemiBoldSharp" w:hAnsi="Ahang DemiBoldSharp" w:cs="Ahang DemiBoldSharp"/>
          <w:sz w:val="21"/>
          <w:szCs w:val="21"/>
        </w:rPr>
        <w:t>] .</w:t>
      </w:r>
      <w:proofErr w:type="gramEnd"/>
      <w:r w:rsidRPr="0081507C">
        <w:rPr>
          <w:rFonts w:ascii="Ahang DemiBoldSharp" w:hAnsi="Ahang DemiBoldSharp" w:cs="Ahang DemiBoldSharp"/>
          <w:sz w:val="21"/>
          <w:szCs w:val="21"/>
        </w:rPr>
        <w:t xml:space="preserve"> </w:t>
      </w:r>
      <w:r w:rsidRPr="0081507C">
        <w:rPr>
          <w:rFonts w:ascii="Ahang DemiBoldSharp" w:hAnsi="Ahang DemiBoldSharp" w:cs="Ahang DemiBoldSharp"/>
          <w:sz w:val="21"/>
          <w:szCs w:val="21"/>
          <w:rtl/>
        </w:rPr>
        <w:t>جزء چهارم واحد کنش</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نشان م</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دهد</w:t>
      </w:r>
      <w:r w:rsidRPr="0081507C">
        <w:rPr>
          <w:rFonts w:ascii="Ahang DemiBoldSharp" w:hAnsi="Ahang DemiBoldSharp" w:cs="Ahang DemiBoldSharp"/>
          <w:sz w:val="21"/>
          <w:szCs w:val="21"/>
          <w:rtl/>
        </w:rPr>
        <w:t xml:space="preserve"> که تک</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ه</w:t>
      </w:r>
      <w:r w:rsidRPr="0081507C">
        <w:rPr>
          <w:rFonts w:ascii="Ahang DemiBoldSharp" w:hAnsi="Ahang DemiBoldSharp" w:cs="Ahang DemiBoldSharp"/>
          <w:sz w:val="21"/>
          <w:szCs w:val="21"/>
          <w:rtl/>
        </w:rPr>
        <w:t xml:space="preserve"> بر فرهنگ و نگاه پهندامنه به جهان اجتماع</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w:t>
      </w:r>
      <w:r w:rsidRPr="0081507C">
        <w:rPr>
          <w:rFonts w:ascii="Ahang DemiBoldSharp" w:hAnsi="Ahang DemiBoldSharp" w:cs="Ahang DemiBoldSharp"/>
          <w:sz w:val="21"/>
          <w:szCs w:val="21"/>
          <w:rtl/>
        </w:rPr>
        <w:t xml:space="preserve"> در کارها</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اول</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ه</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پارسونز هم حضور پررنگ</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داشته و چن</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ن</w:t>
      </w:r>
      <w:r w:rsidRPr="0081507C">
        <w:rPr>
          <w:rFonts w:ascii="Ahang DemiBoldSharp" w:hAnsi="Ahang DemiBoldSharp" w:cs="Ahang DemiBoldSharp"/>
          <w:sz w:val="21"/>
          <w:szCs w:val="21"/>
          <w:rtl/>
        </w:rPr>
        <w:t xml:space="preserve"> نبوده است که تفکر دوره</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نخست و</w:t>
      </w:r>
      <w:r w:rsidRPr="0081507C">
        <w:rPr>
          <w:rFonts w:ascii="Ahang DemiBoldSharp" w:hAnsi="Ahang DemiBoldSharp" w:cs="Ahang DemiBoldSharp" w:hint="cs"/>
          <w:sz w:val="21"/>
          <w:szCs w:val="21"/>
          <w:rtl/>
        </w:rPr>
        <w:t>ی</w:t>
      </w:r>
      <w:r w:rsidRPr="0081507C">
        <w:rPr>
          <w:rFonts w:ascii="Ahang DemiBoldSharp" w:hAnsi="Ahang DemiBoldSharp" w:cs="Ahang DemiBoldSharp" w:hint="eastAsia"/>
          <w:sz w:val="21"/>
          <w:szCs w:val="21"/>
          <w:rtl/>
        </w:rPr>
        <w:t>،</w:t>
      </w:r>
      <w:r w:rsidRPr="0081507C">
        <w:rPr>
          <w:rFonts w:ascii="Ahang DemiBoldSharp" w:hAnsi="Ahang DemiBoldSharp" w:cs="Ahang DemiBoldSharp"/>
          <w:sz w:val="21"/>
          <w:szCs w:val="21"/>
          <w:rtl/>
        </w:rPr>
        <w:t xml:space="preserve"> به کلّ</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عار</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و خال</w:t>
      </w:r>
      <w:r w:rsidRPr="0081507C">
        <w:rPr>
          <w:rFonts w:ascii="Ahang DemiBoldSharp" w:hAnsi="Ahang DemiBoldSharp" w:cs="Ahang DemiBoldSharp" w:hint="cs"/>
          <w:sz w:val="21"/>
          <w:szCs w:val="21"/>
          <w:rtl/>
        </w:rPr>
        <w:t>ی</w:t>
      </w:r>
      <w:r w:rsidRPr="0081507C">
        <w:rPr>
          <w:rFonts w:ascii="Ahang DemiBoldSharp" w:hAnsi="Ahang DemiBoldSharp" w:cs="Ahang DemiBoldSharp"/>
          <w:sz w:val="21"/>
          <w:szCs w:val="21"/>
          <w:rtl/>
        </w:rPr>
        <w:t xml:space="preserve"> از آن باشد</w:t>
      </w:r>
      <w:r w:rsidRPr="0081507C">
        <w:rPr>
          <w:rFonts w:ascii="Ahang DemiBoldSharp" w:hAnsi="Ahang DemiBoldSharp" w:cs="Ahang DemiBoldSharp"/>
          <w:sz w:val="21"/>
          <w:szCs w:val="21"/>
        </w:rPr>
        <w:t>.</w:t>
      </w:r>
    </w:p>
    <w:p w14:paraId="60E10C77"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[11</w:t>
      </w:r>
      <w:proofErr w:type="gramStart"/>
      <w:r w:rsidRPr="0081507C">
        <w:rPr>
          <w:rFonts w:ascii="Ahang DemiBoldSharp" w:hAnsi="Ahang DemiBoldSharp" w:cs="Ahang DemiBoldSharp"/>
          <w:sz w:val="21"/>
          <w:szCs w:val="21"/>
        </w:rPr>
        <w:t>] .</w:t>
      </w:r>
      <w:proofErr w:type="gramEnd"/>
      <w:r w:rsidRPr="0081507C">
        <w:rPr>
          <w:rFonts w:ascii="Ahang DemiBoldSharp" w:hAnsi="Ahang DemiBoldSharp" w:cs="Ahang DemiBoldSharp"/>
          <w:sz w:val="21"/>
          <w:szCs w:val="21"/>
        </w:rPr>
        <w:t xml:space="preserve"> patterns.</w:t>
      </w:r>
    </w:p>
    <w:p w14:paraId="34A81F27"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[12</w:t>
      </w:r>
      <w:proofErr w:type="gramStart"/>
      <w:r w:rsidRPr="0081507C">
        <w:rPr>
          <w:rFonts w:ascii="Ahang DemiBoldSharp" w:hAnsi="Ahang DemiBoldSharp" w:cs="Ahang DemiBoldSharp"/>
          <w:sz w:val="21"/>
          <w:szCs w:val="21"/>
        </w:rPr>
        <w:t>] .</w:t>
      </w:r>
      <w:proofErr w:type="gramEnd"/>
      <w:r w:rsidRPr="0081507C">
        <w:rPr>
          <w:rFonts w:ascii="Ahang DemiBoldSharp" w:hAnsi="Ahang DemiBoldSharp" w:cs="Ahang DemiBoldSharp"/>
          <w:sz w:val="21"/>
          <w:szCs w:val="21"/>
        </w:rPr>
        <w:t xml:space="preserve"> behavior.</w:t>
      </w:r>
    </w:p>
    <w:p w14:paraId="30BFE08E"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[13</w:t>
      </w:r>
      <w:proofErr w:type="gramStart"/>
      <w:r w:rsidRPr="0081507C">
        <w:rPr>
          <w:rFonts w:ascii="Ahang DemiBoldSharp" w:hAnsi="Ahang DemiBoldSharp" w:cs="Ahang DemiBoldSharp"/>
          <w:sz w:val="21"/>
          <w:szCs w:val="21"/>
        </w:rPr>
        <w:t>] .</w:t>
      </w:r>
      <w:proofErr w:type="gramEnd"/>
      <w:r w:rsidRPr="0081507C">
        <w:rPr>
          <w:rFonts w:ascii="Ahang DemiBoldSharp" w:hAnsi="Ahang DemiBoldSharp" w:cs="Ahang DemiBoldSharp"/>
          <w:sz w:val="21"/>
          <w:szCs w:val="21"/>
        </w:rPr>
        <w:t xml:space="preserve"> the products of human action.</w:t>
      </w:r>
    </w:p>
    <w:p w14:paraId="4C1662B4"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[14</w:t>
      </w:r>
      <w:proofErr w:type="gramStart"/>
      <w:r w:rsidRPr="0081507C">
        <w:rPr>
          <w:rFonts w:ascii="Ahang DemiBoldSharp" w:hAnsi="Ahang DemiBoldSharp" w:cs="Ahang DemiBoldSharp"/>
          <w:sz w:val="21"/>
          <w:szCs w:val="21"/>
        </w:rPr>
        <w:t>] .</w:t>
      </w:r>
      <w:proofErr w:type="gramEnd"/>
      <w:r w:rsidRPr="0081507C">
        <w:rPr>
          <w:rFonts w:ascii="Ahang DemiBoldSharp" w:hAnsi="Ahang DemiBoldSharp" w:cs="Ahang DemiBoldSharp"/>
          <w:sz w:val="21"/>
          <w:szCs w:val="21"/>
        </w:rPr>
        <w:t xml:space="preserve"> A complex external symbol structure.</w:t>
      </w:r>
    </w:p>
    <w:p w14:paraId="11D5794C"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[15</w:t>
      </w:r>
      <w:proofErr w:type="gramStart"/>
      <w:r w:rsidRPr="0081507C">
        <w:rPr>
          <w:rFonts w:ascii="Ahang DemiBoldSharp" w:hAnsi="Ahang DemiBoldSharp" w:cs="Ahang DemiBoldSharp"/>
          <w:sz w:val="21"/>
          <w:szCs w:val="21"/>
        </w:rPr>
        <w:t>] .</w:t>
      </w:r>
      <w:proofErr w:type="gramEnd"/>
      <w:r w:rsidRPr="0081507C">
        <w:rPr>
          <w:rFonts w:ascii="Ahang DemiBoldSharp" w:hAnsi="Ahang DemiBoldSharp" w:cs="Ahang DemiBoldSharp"/>
          <w:sz w:val="21"/>
          <w:szCs w:val="21"/>
        </w:rPr>
        <w:t xml:space="preserve"> orientation.</w:t>
      </w:r>
    </w:p>
    <w:p w14:paraId="459B0D49" w14:textId="77777777" w:rsidR="0081507C" w:rsidRPr="0081507C" w:rsidRDefault="0081507C" w:rsidP="0081507C">
      <w:pPr>
        <w:jc w:val="right"/>
        <w:rPr>
          <w:rFonts w:ascii="Ahang DemiBoldSharp" w:hAnsi="Ahang DemiBoldSharp" w:cs="Ahang DemiBoldSharp"/>
          <w:sz w:val="21"/>
          <w:szCs w:val="21"/>
        </w:rPr>
      </w:pPr>
      <w:r w:rsidRPr="0081507C">
        <w:rPr>
          <w:rFonts w:ascii="Ahang DemiBoldSharp" w:hAnsi="Ahang DemiBoldSharp" w:cs="Ahang DemiBoldSharp"/>
          <w:sz w:val="21"/>
          <w:szCs w:val="21"/>
        </w:rPr>
        <w:t>[16</w:t>
      </w:r>
      <w:proofErr w:type="gramStart"/>
      <w:r w:rsidRPr="0081507C">
        <w:rPr>
          <w:rFonts w:ascii="Ahang DemiBoldSharp" w:hAnsi="Ahang DemiBoldSharp" w:cs="Ahang DemiBoldSharp"/>
          <w:sz w:val="21"/>
          <w:szCs w:val="21"/>
        </w:rPr>
        <w:t>] .</w:t>
      </w:r>
      <w:proofErr w:type="gramEnd"/>
      <w:r w:rsidRPr="0081507C">
        <w:rPr>
          <w:rFonts w:ascii="Ahang DemiBoldSharp" w:hAnsi="Ahang DemiBoldSharp" w:cs="Ahang DemiBoldSharp"/>
          <w:sz w:val="21"/>
          <w:szCs w:val="21"/>
        </w:rPr>
        <w:t xml:space="preserve"> actors.</w:t>
      </w:r>
    </w:p>
    <w:p w14:paraId="5B5848C6" w14:textId="68597798" w:rsidR="002272E5" w:rsidRPr="0081507C" w:rsidRDefault="0081507C" w:rsidP="0081507C">
      <w:pPr>
        <w:jc w:val="right"/>
      </w:pPr>
      <w:r w:rsidRPr="0081507C">
        <w:rPr>
          <w:rFonts w:ascii="Ahang DemiBoldSharp" w:hAnsi="Ahang DemiBoldSharp" w:cs="Ahang DemiBoldSharp"/>
          <w:sz w:val="21"/>
          <w:szCs w:val="21"/>
        </w:rPr>
        <w:t>[17</w:t>
      </w:r>
      <w:proofErr w:type="gramStart"/>
      <w:r w:rsidRPr="0081507C">
        <w:rPr>
          <w:rFonts w:ascii="Ahang DemiBoldSharp" w:hAnsi="Ahang DemiBoldSharp" w:cs="Ahang DemiBoldSharp"/>
          <w:sz w:val="21"/>
          <w:szCs w:val="21"/>
        </w:rPr>
        <w:t>] .</w:t>
      </w:r>
      <w:proofErr w:type="gramEnd"/>
      <w:r w:rsidRPr="0081507C">
        <w:rPr>
          <w:rFonts w:ascii="Ahang DemiBoldSharp" w:hAnsi="Ahang DemiBoldSharp" w:cs="Ahang DemiBoldSharp"/>
          <w:sz w:val="21"/>
          <w:szCs w:val="21"/>
        </w:rPr>
        <w:t xml:space="preserve"> </w:t>
      </w:r>
      <w:r w:rsidRPr="0081507C">
        <w:rPr>
          <w:rFonts w:ascii="Ahang DemiBoldSharp" w:hAnsi="Ahang DemiBoldSharp" w:cs="Ahang DemiBoldSharp"/>
          <w:sz w:val="21"/>
          <w:szCs w:val="21"/>
          <w:rtl/>
        </w:rPr>
        <w:t xml:space="preserve">در الگويي كه در پژوهشگاه تدوين شده و مبناي دانشنامه‌ي نبوي(ص) ـ كه نظامات اجتماعي اسلام را از سنت و سيره‌ي نبوي استخراج مي‌كند ـ‌ است بيش از ده نظام براي حيات آدمي در جامعه در نظر گرفته شده است. مبناي آن نظر هم اين است كه انواع مواجهه‌هاي انسان بيش </w:t>
      </w:r>
      <w:r w:rsidRPr="0081507C">
        <w:rPr>
          <w:rFonts w:ascii="Ahang DemiBoldSharp" w:hAnsi="Ahang DemiBoldSharp" w:cs="Ahang DemiBoldSharp" w:hint="eastAsia"/>
          <w:sz w:val="21"/>
          <w:szCs w:val="21"/>
          <w:rtl/>
        </w:rPr>
        <w:t>از</w:t>
      </w:r>
      <w:r w:rsidRPr="0081507C">
        <w:rPr>
          <w:rFonts w:ascii="Ahang DemiBoldSharp" w:hAnsi="Ahang DemiBoldSharp" w:cs="Ahang DemiBoldSharp"/>
          <w:sz w:val="21"/>
          <w:szCs w:val="21"/>
          <w:rtl/>
        </w:rPr>
        <w:t xml:space="preserve"> آن است كه در تلقي‌هاي رايج وجود دارد و همه‌ي اين مواجهه‌ها مي‌توانند براي خودشان نظامي را پديد آورند كه به قواعد و قوانين اخلاقي و حقوقي محكوم باشند</w:t>
      </w:r>
      <w:r w:rsidRPr="0081507C">
        <w:rPr>
          <w:rFonts w:ascii="Ahang DemiBoldSharp" w:hAnsi="Ahang DemiBoldSharp" w:cs="Ahang DemiBoldSharp"/>
          <w:sz w:val="21"/>
          <w:szCs w:val="21"/>
        </w:rPr>
        <w:t>.</w:t>
      </w:r>
    </w:p>
    <w:sectPr w:rsidR="002272E5" w:rsidRPr="008150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430C2"/>
    <w:multiLevelType w:val="hybridMultilevel"/>
    <w:tmpl w:val="ACE09C3E"/>
    <w:lvl w:ilvl="0" w:tplc="8EF61B10">
      <w:start w:val="1"/>
      <w:numFmt w:val="decimal"/>
      <w:lvlText w:val="%1."/>
      <w:lvlJc w:val="left"/>
      <w:pPr>
        <w:ind w:left="785"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num w:numId="1" w16cid:durableId="192576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22E47"/>
    <w:rsid w:val="00091EE2"/>
    <w:rsid w:val="000A2175"/>
    <w:rsid w:val="000E38C8"/>
    <w:rsid w:val="00105CA4"/>
    <w:rsid w:val="0015433C"/>
    <w:rsid w:val="00155BB5"/>
    <w:rsid w:val="00164C4D"/>
    <w:rsid w:val="001A73BC"/>
    <w:rsid w:val="001C6D63"/>
    <w:rsid w:val="001E3423"/>
    <w:rsid w:val="001F1DA7"/>
    <w:rsid w:val="00206401"/>
    <w:rsid w:val="002272E5"/>
    <w:rsid w:val="00253754"/>
    <w:rsid w:val="002B1141"/>
    <w:rsid w:val="002C3085"/>
    <w:rsid w:val="002C7AE6"/>
    <w:rsid w:val="003B656B"/>
    <w:rsid w:val="004A3292"/>
    <w:rsid w:val="004A6BE7"/>
    <w:rsid w:val="004D49AF"/>
    <w:rsid w:val="004E7461"/>
    <w:rsid w:val="005825C3"/>
    <w:rsid w:val="0058631E"/>
    <w:rsid w:val="005A3942"/>
    <w:rsid w:val="006541A6"/>
    <w:rsid w:val="006A2F1A"/>
    <w:rsid w:val="006E07AD"/>
    <w:rsid w:val="006F52D8"/>
    <w:rsid w:val="00730614"/>
    <w:rsid w:val="00807A46"/>
    <w:rsid w:val="0081507C"/>
    <w:rsid w:val="00963D73"/>
    <w:rsid w:val="0097393C"/>
    <w:rsid w:val="009A440B"/>
    <w:rsid w:val="009A7FCD"/>
    <w:rsid w:val="009C7E65"/>
    <w:rsid w:val="009E58D2"/>
    <w:rsid w:val="00A01ED5"/>
    <w:rsid w:val="00A762D8"/>
    <w:rsid w:val="00AE22CB"/>
    <w:rsid w:val="00B75346"/>
    <w:rsid w:val="00BA3A20"/>
    <w:rsid w:val="00C15589"/>
    <w:rsid w:val="00C35009"/>
    <w:rsid w:val="00C56694"/>
    <w:rsid w:val="00C9311B"/>
    <w:rsid w:val="00CA7EB5"/>
    <w:rsid w:val="00D301EF"/>
    <w:rsid w:val="00D5461F"/>
    <w:rsid w:val="00DF3001"/>
    <w:rsid w:val="00E404DB"/>
    <w:rsid w:val="00EA49D0"/>
    <w:rsid w:val="00F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9</Pages>
  <Words>4137</Words>
  <Characters>23581</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24</cp:revision>
  <dcterms:created xsi:type="dcterms:W3CDTF">2025-08-20T19:20:00Z</dcterms:created>
  <dcterms:modified xsi:type="dcterms:W3CDTF">2025-09-05T10:25:00Z</dcterms:modified>
</cp:coreProperties>
</file>