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F3B318" w14:textId="77777777" w:rsidR="00321146" w:rsidRPr="00321146" w:rsidRDefault="00321146" w:rsidP="00321146">
      <w:pPr>
        <w:jc w:val="center"/>
        <w:rPr>
          <w:rFonts w:ascii="Ahang DemiBoldSharp" w:hAnsi="Ahang DemiBoldSharp" w:cs="Ahang DemiBoldSharp"/>
          <w:b/>
          <w:bCs/>
        </w:rPr>
      </w:pPr>
      <w:r w:rsidRPr="00321146">
        <w:rPr>
          <w:rFonts w:ascii="Ahang DemiBoldSharp" w:hAnsi="Ahang DemiBoldSharp" w:cs="Ahang DemiBoldSharp"/>
          <w:b/>
          <w:bCs/>
          <w:rtl/>
        </w:rPr>
        <w:t>موضوع: حکمت تحریم ربا /تحریم ربا</w:t>
      </w:r>
    </w:p>
    <w:p w14:paraId="552A6DB8" w14:textId="77777777" w:rsidR="00321146" w:rsidRPr="00321146" w:rsidRDefault="00321146" w:rsidP="00321146">
      <w:pPr>
        <w:jc w:val="right"/>
        <w:rPr>
          <w:rFonts w:asciiTheme="majorBidi" w:hAnsiTheme="majorBidi" w:cstheme="majorBidi"/>
        </w:rPr>
      </w:pPr>
      <w:r w:rsidRPr="00321146">
        <w:rPr>
          <w:rFonts w:asciiTheme="majorBidi" w:hAnsiTheme="majorBidi" w:cstheme="majorBidi"/>
          <w:rtl/>
        </w:rPr>
        <w:t>حکمت تحریم ربا</w:t>
      </w:r>
    </w:p>
    <w:p w14:paraId="57C0090E" w14:textId="77777777" w:rsidR="00321146" w:rsidRPr="00321146" w:rsidRDefault="00321146" w:rsidP="00321146">
      <w:pPr>
        <w:jc w:val="right"/>
        <w:rPr>
          <w:rFonts w:asciiTheme="majorBidi" w:hAnsiTheme="majorBidi" w:cstheme="majorBidi"/>
        </w:rPr>
      </w:pPr>
      <w:r w:rsidRPr="00321146">
        <w:rPr>
          <w:rFonts w:asciiTheme="majorBidi" w:hAnsiTheme="majorBidi" w:cstheme="majorBidi"/>
          <w:rtl/>
        </w:rPr>
        <w:t>مُحَمَّدُ بْنُ عَلِيِّ بْنِ الْحُسَيْنِ بِإِسْنَادِهِ عَنْ هِشَامِ بْنِ الْحَكَمِ أَنَّهُ سَأَلَ أَبَا عَبْدِ اللَّهِ ع عَنْ عِلَّةِ تَحْرِيمِ الرِّبَا- فَقَالَ إِنَّهُ لَوْ كَانَ الرِّبَا حَلَالًا- لَتَرَكَ النَّاسُ التِّجَارَاتِ وَ مَا يَحْتَاجُونَ إِلَيْهِ- فَحَرَّمَ اللَّهُ الرِّبَا لِتَنْفِرَ النَّاسُ مِنَ الْحَرَامِ إِلَى الْحَلَالِ- وَ إِلَى التِّجَارَاتِ مِنَ الْبَيْعِ وَ الشِّرَاءِ- فَيَبْقَى ذَلِكَ بَيْنَهُمْ فِي الْقَرْضِ</w:t>
      </w:r>
      <w:r w:rsidRPr="00321146">
        <w:rPr>
          <w:rFonts w:asciiTheme="majorBidi" w:hAnsiTheme="majorBidi" w:cstheme="majorBidi"/>
        </w:rPr>
        <w:t>[1]</w:t>
      </w:r>
    </w:p>
    <w:p w14:paraId="7D28366C" w14:textId="77777777" w:rsidR="00321146" w:rsidRPr="00321146" w:rsidRDefault="00321146" w:rsidP="00321146">
      <w:pPr>
        <w:jc w:val="right"/>
        <w:rPr>
          <w:rFonts w:asciiTheme="majorBidi" w:hAnsiTheme="majorBidi" w:cstheme="majorBidi"/>
        </w:rPr>
      </w:pPr>
      <w:r w:rsidRPr="00321146">
        <w:rPr>
          <w:rFonts w:asciiTheme="majorBidi" w:hAnsiTheme="majorBidi" w:cstheme="majorBidi"/>
          <w:rtl/>
        </w:rPr>
        <w:t>یکی از حکمت های حرمت ربا آن است که در صورت حلیت اخذ ربا مردم صناعات و حِرَف خود را ترک می کردند و دیگر کسی به پرورش حیوانات و مزرعه داری و کشاورزی و ماهی گیری سایر حرف نمی پرداخت، چرا که همه این حِرَف همراه با زحمت هستند و در صورتی که مردم می توانستند تحصیل مال بدون زحمت کنند، دیگر زحمت و سختی این کار ها را به خود نمی دادند. حیات از حرکت می ایستاد و مجاری آن بسته می شد. بنا بر این خداوند تعالی این از مردم را از ابتلا به این مانع منع نمود</w:t>
      </w:r>
      <w:r w:rsidRPr="00321146">
        <w:rPr>
          <w:rFonts w:asciiTheme="majorBidi" w:hAnsiTheme="majorBidi" w:cstheme="majorBidi"/>
        </w:rPr>
        <w:t>.</w:t>
      </w:r>
    </w:p>
    <w:p w14:paraId="0ABCD35C" w14:textId="77777777" w:rsidR="00321146" w:rsidRPr="00321146" w:rsidRDefault="00321146" w:rsidP="00321146">
      <w:pPr>
        <w:jc w:val="right"/>
        <w:rPr>
          <w:rFonts w:asciiTheme="majorBidi" w:hAnsiTheme="majorBidi" w:cstheme="majorBidi"/>
        </w:rPr>
      </w:pPr>
      <w:r w:rsidRPr="00321146">
        <w:rPr>
          <w:rFonts w:asciiTheme="majorBidi" w:hAnsiTheme="majorBidi" w:cstheme="majorBidi"/>
          <w:rtl/>
        </w:rPr>
        <w:t>در روایت در حکمت تحریم ربا آمده</w:t>
      </w:r>
      <w:r w:rsidRPr="00321146">
        <w:rPr>
          <w:rFonts w:asciiTheme="majorBidi" w:hAnsiTheme="majorBidi" w:cstheme="majorBidi"/>
        </w:rPr>
        <w:t>:</w:t>
      </w:r>
    </w:p>
    <w:p w14:paraId="0905294C" w14:textId="77777777" w:rsidR="00321146" w:rsidRPr="00321146" w:rsidRDefault="00321146" w:rsidP="00321146">
      <w:pPr>
        <w:jc w:val="right"/>
        <w:rPr>
          <w:rFonts w:asciiTheme="majorBidi" w:hAnsiTheme="majorBidi" w:cstheme="majorBidi"/>
        </w:rPr>
      </w:pPr>
      <w:r w:rsidRPr="00321146">
        <w:rPr>
          <w:rFonts w:asciiTheme="majorBidi" w:hAnsiTheme="majorBidi" w:cstheme="majorBidi"/>
          <w:rtl/>
        </w:rPr>
        <w:t>وَ بِإِسْنَادِهِ عَنْ مُحَمَّدِ بْنِ سِنَانٍ أَنَّ عَلِيَّ بْنَ مُوسَى الرِّضَا ع كَتَبَ إِلَيْهِ فِيمَا كَتَبَ- مِنْ جَوَابِ مَسَائِلِهِ- وَ عِلَّةُ تَحْرِيمِ الرِّبَا لِمَا نَهَى اللَّهُ عَزَّ وَ جَلَّ عَنْهُ- وَ لِمَا فِيهِ مِنْ فَسَادِ الْأَمْوَالِ ... وَ تَلَفِ الْأَمْوَالِ وَ رَغْبَةِ النَّاسِ فِي الرِّبْحِ وَ تَرْكِهِمُ الْقَرْضَ وَ الْقَرْضُ صَنَائِعُ الْمَعْرُوفِ وَ لِمَا فِي ذَلِكَ مِنَ الْفَسَادِ وَ الظُّلْمِ وَ فَنَاءِ الْأَمْوَالِ</w:t>
      </w:r>
      <w:r w:rsidRPr="00321146">
        <w:rPr>
          <w:rFonts w:asciiTheme="majorBidi" w:hAnsiTheme="majorBidi" w:cstheme="majorBidi"/>
        </w:rPr>
        <w:t>. [2]</w:t>
      </w:r>
    </w:p>
    <w:p w14:paraId="260DF6EB" w14:textId="77777777" w:rsidR="00321146" w:rsidRPr="00321146" w:rsidRDefault="00321146" w:rsidP="00321146">
      <w:pPr>
        <w:jc w:val="right"/>
        <w:rPr>
          <w:rFonts w:asciiTheme="majorBidi" w:hAnsiTheme="majorBidi" w:cstheme="majorBidi"/>
        </w:rPr>
      </w:pPr>
      <w:r w:rsidRPr="00321146">
        <w:rPr>
          <w:rFonts w:asciiTheme="majorBidi" w:hAnsiTheme="majorBidi" w:cstheme="majorBidi"/>
          <w:rtl/>
        </w:rPr>
        <w:t>فساد و ظلمی که در روایت به آن اشاره شده به این دلیل است که معمولا کسی که به دنبال قرض گرفتن مالی می رود، محتاج است و در این حال هر چه که به وی تحمیل شود از زیاده و شروط دیگر مجبور به قبول آن است. لذا ربای متعارف در ازمنه جاهلی به اضعاف بوده و به همین دلیل در آیه شریفه آمده «يَا أَيُّهَا الَّذِينَ آمَنُوا لاَ تَأْكُلُوا الرِّبَا أَضْعَافاً مُضَاعَفَةً»[3]یعنی عوض مثل قرض، چندین برابر آن را اخذ می نمودند. و این ظلمی آشکار در قبال استیصال مردم بود</w:t>
      </w:r>
      <w:r w:rsidRPr="00321146">
        <w:rPr>
          <w:rFonts w:asciiTheme="majorBidi" w:hAnsiTheme="majorBidi" w:cstheme="majorBidi"/>
        </w:rPr>
        <w:t>.</w:t>
      </w:r>
    </w:p>
    <w:p w14:paraId="00C65297" w14:textId="77777777" w:rsidR="00321146" w:rsidRPr="00321146" w:rsidRDefault="00321146" w:rsidP="00321146">
      <w:pPr>
        <w:jc w:val="right"/>
        <w:rPr>
          <w:rFonts w:asciiTheme="majorBidi" w:hAnsiTheme="majorBidi" w:cstheme="majorBidi"/>
        </w:rPr>
      </w:pPr>
      <w:r w:rsidRPr="00321146">
        <w:rPr>
          <w:rFonts w:asciiTheme="majorBidi" w:hAnsiTheme="majorBidi" w:cstheme="majorBidi"/>
          <w:rtl/>
        </w:rPr>
        <w:t>شبهه اختصاص ربا به صورت ربای جاهلی</w:t>
      </w:r>
    </w:p>
    <w:p w14:paraId="535B2DB1" w14:textId="77777777" w:rsidR="00321146" w:rsidRPr="00321146" w:rsidRDefault="00321146" w:rsidP="00321146">
      <w:pPr>
        <w:jc w:val="right"/>
        <w:rPr>
          <w:rFonts w:asciiTheme="majorBidi" w:hAnsiTheme="majorBidi" w:cstheme="majorBidi"/>
        </w:rPr>
      </w:pPr>
      <w:r w:rsidRPr="00321146">
        <w:rPr>
          <w:rFonts w:asciiTheme="majorBidi" w:hAnsiTheme="majorBidi" w:cstheme="majorBidi"/>
          <w:rtl/>
        </w:rPr>
        <w:t>بعضی از اعلام اهل سنت مثل محمد رشید رضا که شاگرد محمد عبده که وی نیز از کبار علما و مفسرین و محققین و همچنین دوست و همراه سید جمال الدین اسد آبادی در فعالیتهای جهادی می باشد. اما محمد رشید رضا در صفا و خلوص مثل استاد نمی باشد. ایشان مجله ای بنام المنار تاسیس و بعد از آن تفسیری با همین نام نوشت و در تفسیر آیات ربا، این آیات را ناظر به ربای جاهلی یعنی ربایی که در عصر جاهلی متعارف بود دانست. ایشان اضافه می کند که ربای جاهلی عبارت است از زیادی دین در قبال تمدید اجل قرض. به این نحو که ابتدا قرض مثل به مثل بوده یعنی اضافه و ربایی در آن مطرح نبوده لکن در اجل رد دین، با توجه به عدم توانایی مقترض در پرداخت دین، مقرض در عوض تمدید مهلت، شرط زیاده ای بر اصل دین می نمود. مثال دیگری از ربای جاهلی، زیاده در سن حیوان است، به این نحو که ابتدا مقترض حیوانی قرض می گرفته و متعهد به رد مثل آن در اجل قرض می شده به عنوان مثال قرض بنت لبون به بنت لبون و بنت مخاض به بنت مخاض یعنی شتر یکساله به مثل خودش و یا شتر دو ساله به مثل آن، لکن در زمان اجل اگر مقترض طلب مهلت در رد می کرد، مقرض او را ملزم به اعطای بجای بنت مخاض بنت لبون یعنی بجای شتر یک ساله، شتر دو ساله یا سه ساله طلب می نمود. می دانید که با بالارفتن عمر حیوان قیمت آن نیز اضافه می شود. بنا بر این محمد رشید رضا تنها همین صورت از ربا را حرام می داند. بعضی از علمای اهل سنت نیز در این حکم از ایشان تبعیت نموده وفقط فتوا به تحریم همین صورت داده اند</w:t>
      </w:r>
      <w:r w:rsidRPr="00321146">
        <w:rPr>
          <w:rFonts w:asciiTheme="majorBidi" w:hAnsiTheme="majorBidi" w:cstheme="majorBidi"/>
        </w:rPr>
        <w:t>.</w:t>
      </w:r>
    </w:p>
    <w:p w14:paraId="6BF4BA0A" w14:textId="77777777" w:rsidR="00321146" w:rsidRPr="00321146" w:rsidRDefault="00321146" w:rsidP="00321146">
      <w:pPr>
        <w:jc w:val="right"/>
        <w:rPr>
          <w:rFonts w:asciiTheme="majorBidi" w:hAnsiTheme="majorBidi" w:cstheme="majorBidi"/>
        </w:rPr>
      </w:pPr>
      <w:r w:rsidRPr="00321146">
        <w:rPr>
          <w:rFonts w:asciiTheme="majorBidi" w:hAnsiTheme="majorBidi" w:cstheme="majorBidi"/>
          <w:rtl/>
        </w:rPr>
        <w:t>پاسخ به شبهه مذکور</w:t>
      </w:r>
    </w:p>
    <w:p w14:paraId="2691F5AA" w14:textId="77777777" w:rsidR="00321146" w:rsidRPr="00321146" w:rsidRDefault="00321146" w:rsidP="00321146">
      <w:pPr>
        <w:jc w:val="right"/>
        <w:rPr>
          <w:rFonts w:asciiTheme="majorBidi" w:hAnsiTheme="majorBidi" w:cstheme="majorBidi"/>
        </w:rPr>
      </w:pPr>
      <w:r w:rsidRPr="00321146">
        <w:rPr>
          <w:rFonts w:asciiTheme="majorBidi" w:hAnsiTheme="majorBidi" w:cstheme="majorBidi"/>
          <w:rtl/>
        </w:rPr>
        <w:t>در جواب این وجه می گوییم</w:t>
      </w:r>
      <w:r w:rsidRPr="00321146">
        <w:rPr>
          <w:rFonts w:asciiTheme="majorBidi" w:hAnsiTheme="majorBidi" w:cstheme="majorBidi"/>
        </w:rPr>
        <w:t>:</w:t>
      </w:r>
    </w:p>
    <w:p w14:paraId="488A411E" w14:textId="77777777" w:rsidR="00321146" w:rsidRPr="00321146" w:rsidRDefault="00321146" w:rsidP="00321146">
      <w:pPr>
        <w:jc w:val="right"/>
        <w:rPr>
          <w:rFonts w:asciiTheme="majorBidi" w:hAnsiTheme="majorBidi" w:cstheme="majorBidi"/>
        </w:rPr>
      </w:pPr>
      <w:r w:rsidRPr="00321146">
        <w:rPr>
          <w:rFonts w:asciiTheme="majorBidi" w:hAnsiTheme="majorBidi" w:cstheme="majorBidi"/>
          <w:rtl/>
        </w:rPr>
        <w:lastRenderedPageBreak/>
        <w:t>جواب اول، این نحوه برداشت از آیه، اجتهاد در مقابل نص است. چرا که روایات فریقین تصریح باطلاق بر صدق ربا بر اشتراط زیاده در قرض دارند، چه آنکه این زیاده از ابتدا شرط شود و چه آنکه زیاده در اثنا باشد. در کتاب الموَطأ امام مالک از نبی اکرم روایت شده «کل قرض جر منفعه فهو ربا» این روایت شامل جمیع صور ربا می باشد، چه ربا از اثنا و بدلیل تمدید مدت باشد و چه ربا از ابتدا شرط شده باشد. روایت «الرِّبَا الْحَرَامُ فَهُوَ الرَّجُلُ يُقْرِضُ قَرْضاً- وَ يَشْتَرِطُ أَنْ يَرُدَّ أَكْثَرَ مِمَّا أَخَذَهُ فَهَذَا هُوَ الْحَرَامُ»[4] که از امام صادق علیه السلام نقل شده نیز بر حرمت صورت اشتراط اخذ ربا از ابتدا دلالت دارد. بنا بر آنچه بیان شد اختصاص دادن حرمت به صورت اشتراط زیاده بخاطر تمدید مدت وجه و دلیلی ندارد</w:t>
      </w:r>
      <w:r w:rsidRPr="00321146">
        <w:rPr>
          <w:rFonts w:asciiTheme="majorBidi" w:hAnsiTheme="majorBidi" w:cstheme="majorBidi"/>
        </w:rPr>
        <w:t>.</w:t>
      </w:r>
    </w:p>
    <w:p w14:paraId="7AF0E4E0" w14:textId="77777777" w:rsidR="00321146" w:rsidRPr="00321146" w:rsidRDefault="00321146" w:rsidP="00321146">
      <w:pPr>
        <w:jc w:val="right"/>
        <w:rPr>
          <w:rFonts w:asciiTheme="majorBidi" w:hAnsiTheme="majorBidi" w:cstheme="majorBidi"/>
        </w:rPr>
      </w:pPr>
      <w:r w:rsidRPr="00321146">
        <w:rPr>
          <w:rFonts w:asciiTheme="majorBidi" w:hAnsiTheme="majorBidi" w:cstheme="majorBidi"/>
          <w:rtl/>
        </w:rPr>
        <w:t>جواب دوم، اختصاص ربا به صورت زیاده در قبال تمدید مدت قرض با آنچه که اهل لغت و مفسرین مثل ابو بکر الجصاص در احکام القرآن بیان نموده اند مبنی بر اینکه ربای جاهلی را به اقراض همراه با شرط زیاده، سنخیت ندارد</w:t>
      </w:r>
      <w:r w:rsidRPr="00321146">
        <w:rPr>
          <w:rFonts w:asciiTheme="majorBidi" w:hAnsiTheme="majorBidi" w:cstheme="majorBidi"/>
        </w:rPr>
        <w:t>.</w:t>
      </w:r>
    </w:p>
    <w:p w14:paraId="0689626F" w14:textId="77777777" w:rsidR="00321146" w:rsidRPr="00321146" w:rsidRDefault="00321146" w:rsidP="00321146">
      <w:pPr>
        <w:jc w:val="right"/>
        <w:rPr>
          <w:rFonts w:asciiTheme="majorBidi" w:hAnsiTheme="majorBidi" w:cstheme="majorBidi"/>
        </w:rPr>
      </w:pPr>
      <w:r w:rsidRPr="00321146">
        <w:rPr>
          <w:rFonts w:asciiTheme="majorBidi" w:hAnsiTheme="majorBidi" w:cstheme="majorBidi"/>
          <w:rtl/>
        </w:rPr>
        <w:t>کیاهراسی در احکام القرآن خود، امام فخر رازی در کتاب تفسیر الکبیر یا مفاتیح غیب، ابن حجر نیز در کتاب الزواجر عن اقتراف الكبائر به همین معنا اشاره کرده اند. بنا بر این اختصاص ربای جاهلی به اشتراط زیاده در اثنا، کلامی بی اساس است</w:t>
      </w:r>
      <w:r w:rsidRPr="00321146">
        <w:rPr>
          <w:rFonts w:asciiTheme="majorBidi" w:hAnsiTheme="majorBidi" w:cstheme="majorBidi"/>
        </w:rPr>
        <w:t>.</w:t>
      </w:r>
    </w:p>
    <w:p w14:paraId="5F91F5F1" w14:textId="77777777" w:rsidR="00321146" w:rsidRPr="00321146" w:rsidRDefault="00321146" w:rsidP="00321146">
      <w:pPr>
        <w:jc w:val="right"/>
        <w:rPr>
          <w:rFonts w:asciiTheme="majorBidi" w:hAnsiTheme="majorBidi" w:cstheme="majorBidi"/>
        </w:rPr>
      </w:pPr>
      <w:r w:rsidRPr="00321146">
        <w:rPr>
          <w:rFonts w:asciiTheme="majorBidi" w:hAnsiTheme="majorBidi" w:cstheme="majorBidi"/>
          <w:rtl/>
        </w:rPr>
        <w:t>جواب سوم، که در رد این نظر می توان به آن استناد نمود آیاتی است که یهود را بخاطر اکل ربا که بر آنها حرام بود و با این حال آنها اکل ربا می نمودند توبیخ می کند. آیه شریفه می فرماید: « وَ أَخْذِهِمُ الرِّبَا وَ قَدْ نُهُوا عَنْهُ وَ أَكْلِهِمْ أَمْوَالَ النَّاسِ بِالْبَاطِلِ وَ أَعْتَدْنَا لِلْكَافِرِينَ مِنْهُمْ عَذَاباً أَلِيماً»[5]با توجه به این نکته که یهود اخذ ربا را منحصر به صورت شرط در اثنا بجهت تمدید مدت ننموده بودند، این نتیجه بدست می آید که اختصاص ربا به این صورت خاص دلیلی ندارد</w:t>
      </w:r>
      <w:r w:rsidRPr="00321146">
        <w:rPr>
          <w:rFonts w:asciiTheme="majorBidi" w:hAnsiTheme="majorBidi" w:cstheme="majorBidi"/>
        </w:rPr>
        <w:t>.</w:t>
      </w:r>
    </w:p>
    <w:p w14:paraId="7D951289" w14:textId="77777777" w:rsidR="00321146" w:rsidRPr="00321146" w:rsidRDefault="00321146" w:rsidP="00321146">
      <w:pPr>
        <w:jc w:val="right"/>
        <w:rPr>
          <w:rFonts w:asciiTheme="majorBidi" w:hAnsiTheme="majorBidi" w:cstheme="majorBidi"/>
        </w:rPr>
      </w:pPr>
      <w:r w:rsidRPr="00321146">
        <w:rPr>
          <w:rFonts w:asciiTheme="majorBidi" w:hAnsiTheme="majorBidi" w:cstheme="majorBidi"/>
          <w:rtl/>
        </w:rPr>
        <w:t>همچنین پیامبر بر نصارای نجران شرط کرد که ربا را ترک نمایند. «مُحَمَّدُ بْنُ الْحَسَنِ بِإِسْنَادِهِ عَنْ مُحَمَّدِ بْنِ أَحْمَدَ بْنِ يَحْيَى عَنِ الْهَيْثَمِ عَنِ ابْنِ مَحْبُوبٍ عَنْ عَلِيِّ بْنِ رِئَابٍ عَنْ زُرَارَةَ عَنْ أَبِي عَبْدِ اللَّهِ ع قَالَ: إِنَّ رَسُولَ اللَّهِ ص قَبِلَ‌ الْجِزْيَةَ مِنْ أَهْلِ الذِّمَّةِ- عَلَى أَنْ لَا يَأْكُلُوا الرِّبَا ...» [6] لذا معلوم می شود که ربا در میان نصاری نیز رایج بود و خداوند ربا را برای نصاری نیز تحریم کرده بود اما یهود بجهت تمرد از حکم الهی توبیخ شدند و به عذاب الهی وعده داده شدند. نصاری نیز بعدها با حکم الهی مخالفت نمودند و همین سبب شد که عمر بن الخطاب در زمان خلافت خود آنها را به همین دلیل تبعید کند. خلاصه اینکه آنچه که میان نصاری تا الآن نیز رایج است، اعم از جمیع صور رباست</w:t>
      </w:r>
      <w:r w:rsidRPr="00321146">
        <w:rPr>
          <w:rFonts w:asciiTheme="majorBidi" w:hAnsiTheme="majorBidi" w:cstheme="majorBidi"/>
        </w:rPr>
        <w:t>.</w:t>
      </w:r>
    </w:p>
    <w:p w14:paraId="5AF518DD" w14:textId="77777777" w:rsidR="00321146" w:rsidRPr="00321146" w:rsidRDefault="00321146" w:rsidP="00321146">
      <w:pPr>
        <w:jc w:val="right"/>
        <w:rPr>
          <w:rFonts w:asciiTheme="majorBidi" w:hAnsiTheme="majorBidi" w:cstheme="majorBidi"/>
        </w:rPr>
      </w:pPr>
      <w:r w:rsidRPr="00321146">
        <w:rPr>
          <w:rFonts w:asciiTheme="majorBidi" w:hAnsiTheme="majorBidi" w:cstheme="majorBidi"/>
          <w:rtl/>
        </w:rPr>
        <w:t>نکته دیگری که باید توجه داشت این است که اهمیت تحریم ربا آنچنان زیاد است که رسول خدا اکل ربا را حتی بر کفار ممنوع نموده بود و کما اینکه بیان شد در روایاتی ربا را همچون زنا با محارم در کعبه و در روایاتی دیگر آن را بدتر از آن شمرده اند. به خدا پناه میبریم از این عمل فاسد و مفسد در جامعه خود</w:t>
      </w:r>
      <w:r w:rsidRPr="00321146">
        <w:rPr>
          <w:rFonts w:asciiTheme="majorBidi" w:hAnsiTheme="majorBidi" w:cstheme="majorBidi"/>
        </w:rPr>
        <w:t>.</w:t>
      </w:r>
    </w:p>
    <w:p w14:paraId="07C7C34F" w14:textId="77777777" w:rsidR="00321146" w:rsidRPr="00321146" w:rsidRDefault="00321146" w:rsidP="00321146">
      <w:pPr>
        <w:jc w:val="right"/>
        <w:rPr>
          <w:rFonts w:asciiTheme="majorBidi" w:hAnsiTheme="majorBidi" w:cstheme="majorBidi"/>
        </w:rPr>
      </w:pPr>
    </w:p>
    <w:p w14:paraId="159C6C31" w14:textId="77777777" w:rsidR="00321146" w:rsidRPr="00321146" w:rsidRDefault="00321146" w:rsidP="00321146">
      <w:pPr>
        <w:jc w:val="right"/>
        <w:rPr>
          <w:rFonts w:asciiTheme="majorBidi" w:hAnsiTheme="majorBidi" w:cstheme="majorBidi"/>
        </w:rPr>
      </w:pPr>
    </w:p>
    <w:p w14:paraId="2CEF5A03" w14:textId="77777777" w:rsidR="00321146" w:rsidRPr="00321146" w:rsidRDefault="00321146" w:rsidP="00321146">
      <w:pPr>
        <w:jc w:val="right"/>
        <w:rPr>
          <w:rFonts w:asciiTheme="majorBidi" w:hAnsiTheme="majorBidi" w:cstheme="majorBidi"/>
        </w:rPr>
      </w:pPr>
      <w:r w:rsidRPr="00321146">
        <w:rPr>
          <w:rFonts w:asciiTheme="majorBidi" w:hAnsiTheme="majorBidi" w:cstheme="majorBidi"/>
        </w:rPr>
        <w:t xml:space="preserve">[1] </w:t>
      </w:r>
      <w:r w:rsidRPr="00321146">
        <w:rPr>
          <w:rFonts w:asciiTheme="majorBidi" w:hAnsiTheme="majorBidi" w:cstheme="majorBidi"/>
          <w:rtl/>
        </w:rPr>
        <w:t>وسائل الشیعه، شیخ حر عاملی، ج 18، ص 120، أبواب الربا، باب 1، شماره 23277، ح 8،ط آل البیت</w:t>
      </w:r>
      <w:r w:rsidRPr="00321146">
        <w:rPr>
          <w:rFonts w:asciiTheme="majorBidi" w:hAnsiTheme="majorBidi" w:cstheme="majorBidi"/>
        </w:rPr>
        <w:t>.</w:t>
      </w:r>
    </w:p>
    <w:p w14:paraId="755CE021" w14:textId="77777777" w:rsidR="00321146" w:rsidRPr="00321146" w:rsidRDefault="00321146" w:rsidP="00321146">
      <w:pPr>
        <w:jc w:val="right"/>
        <w:rPr>
          <w:rFonts w:asciiTheme="majorBidi" w:hAnsiTheme="majorBidi" w:cstheme="majorBidi"/>
        </w:rPr>
      </w:pPr>
      <w:r w:rsidRPr="00321146">
        <w:rPr>
          <w:rFonts w:asciiTheme="majorBidi" w:hAnsiTheme="majorBidi" w:cstheme="majorBidi"/>
        </w:rPr>
        <w:t xml:space="preserve">[2] </w:t>
      </w:r>
      <w:r w:rsidRPr="00321146">
        <w:rPr>
          <w:rFonts w:asciiTheme="majorBidi" w:hAnsiTheme="majorBidi" w:cstheme="majorBidi"/>
          <w:rtl/>
        </w:rPr>
        <w:t>وسائل الشیعه، شیخ حر عاملی، ج 18، ص 121، أبواب الربا، باب 1، شماره 23280، ح 11،ط آل البیت</w:t>
      </w:r>
      <w:r w:rsidRPr="00321146">
        <w:rPr>
          <w:rFonts w:asciiTheme="majorBidi" w:hAnsiTheme="majorBidi" w:cstheme="majorBidi"/>
        </w:rPr>
        <w:t>.</w:t>
      </w:r>
    </w:p>
    <w:p w14:paraId="070F574A" w14:textId="77777777" w:rsidR="00321146" w:rsidRPr="00321146" w:rsidRDefault="00321146" w:rsidP="00321146">
      <w:pPr>
        <w:jc w:val="right"/>
        <w:rPr>
          <w:rFonts w:asciiTheme="majorBidi" w:hAnsiTheme="majorBidi" w:cstheme="majorBidi"/>
        </w:rPr>
      </w:pPr>
      <w:r w:rsidRPr="00321146">
        <w:rPr>
          <w:rFonts w:asciiTheme="majorBidi" w:hAnsiTheme="majorBidi" w:cstheme="majorBidi"/>
        </w:rPr>
        <w:t xml:space="preserve">[3] </w:t>
      </w:r>
      <w:r w:rsidRPr="00321146">
        <w:rPr>
          <w:rFonts w:asciiTheme="majorBidi" w:hAnsiTheme="majorBidi" w:cstheme="majorBidi"/>
          <w:rtl/>
        </w:rPr>
        <w:t>آل عمران/سوره3، آیه130</w:t>
      </w:r>
      <w:r w:rsidRPr="00321146">
        <w:rPr>
          <w:rFonts w:asciiTheme="majorBidi" w:hAnsiTheme="majorBidi" w:cstheme="majorBidi"/>
        </w:rPr>
        <w:t>.</w:t>
      </w:r>
    </w:p>
    <w:p w14:paraId="72946AC0" w14:textId="77777777" w:rsidR="00321146" w:rsidRPr="00321146" w:rsidRDefault="00321146" w:rsidP="00321146">
      <w:pPr>
        <w:jc w:val="right"/>
        <w:rPr>
          <w:rFonts w:asciiTheme="majorBidi" w:hAnsiTheme="majorBidi" w:cstheme="majorBidi"/>
        </w:rPr>
      </w:pPr>
      <w:r w:rsidRPr="00321146">
        <w:rPr>
          <w:rFonts w:asciiTheme="majorBidi" w:hAnsiTheme="majorBidi" w:cstheme="majorBidi"/>
        </w:rPr>
        <w:t xml:space="preserve">[4] </w:t>
      </w:r>
      <w:r w:rsidRPr="00321146">
        <w:rPr>
          <w:rFonts w:asciiTheme="majorBidi" w:hAnsiTheme="majorBidi" w:cstheme="majorBidi"/>
          <w:rtl/>
        </w:rPr>
        <w:t>وسائل الشیعه، شیخ حر عاملی، ج 18، ص 160، أبواب الربا، باب 18، شماره 23389، ح 1،ط آل البیت</w:t>
      </w:r>
      <w:r w:rsidRPr="00321146">
        <w:rPr>
          <w:rFonts w:asciiTheme="majorBidi" w:hAnsiTheme="majorBidi" w:cstheme="majorBidi"/>
        </w:rPr>
        <w:t>.</w:t>
      </w:r>
    </w:p>
    <w:p w14:paraId="42D042C8" w14:textId="77777777" w:rsidR="00321146" w:rsidRPr="00321146" w:rsidRDefault="00321146" w:rsidP="00321146">
      <w:pPr>
        <w:jc w:val="right"/>
        <w:rPr>
          <w:rFonts w:asciiTheme="majorBidi" w:hAnsiTheme="majorBidi" w:cstheme="majorBidi"/>
        </w:rPr>
      </w:pPr>
      <w:r w:rsidRPr="00321146">
        <w:rPr>
          <w:rFonts w:asciiTheme="majorBidi" w:hAnsiTheme="majorBidi" w:cstheme="majorBidi"/>
        </w:rPr>
        <w:t xml:space="preserve">[5] </w:t>
      </w:r>
      <w:r w:rsidRPr="00321146">
        <w:rPr>
          <w:rFonts w:asciiTheme="majorBidi" w:hAnsiTheme="majorBidi" w:cstheme="majorBidi"/>
          <w:rtl/>
        </w:rPr>
        <w:t>نساء/سوره4، آیه161</w:t>
      </w:r>
      <w:r w:rsidRPr="00321146">
        <w:rPr>
          <w:rFonts w:asciiTheme="majorBidi" w:hAnsiTheme="majorBidi" w:cstheme="majorBidi"/>
        </w:rPr>
        <w:t>.</w:t>
      </w:r>
    </w:p>
    <w:p w14:paraId="1A49B8C9" w14:textId="4A9ED663" w:rsidR="00E404DB" w:rsidRPr="00321146" w:rsidRDefault="00321146" w:rsidP="00321146">
      <w:pPr>
        <w:jc w:val="right"/>
        <w:rPr>
          <w:rFonts w:asciiTheme="majorBidi" w:hAnsiTheme="majorBidi" w:cstheme="majorBidi"/>
        </w:rPr>
      </w:pPr>
      <w:r w:rsidRPr="00321146">
        <w:rPr>
          <w:rFonts w:asciiTheme="majorBidi" w:hAnsiTheme="majorBidi" w:cstheme="majorBidi"/>
        </w:rPr>
        <w:t xml:space="preserve">[6] </w:t>
      </w:r>
      <w:r w:rsidRPr="00321146">
        <w:rPr>
          <w:rFonts w:asciiTheme="majorBidi" w:hAnsiTheme="majorBidi" w:cstheme="majorBidi"/>
          <w:rtl/>
        </w:rPr>
        <w:t>وسائل الشیعه، شیخ حر عاملی، ج 15، ص 124، أبواب جهاد العدو و ما یناسبه، باب 48، شماره 20128، ح 1،ط آل البیت</w:t>
      </w:r>
      <w:r w:rsidRPr="00321146">
        <w:rPr>
          <w:rFonts w:asciiTheme="majorBidi" w:hAnsiTheme="majorBidi" w:cstheme="majorBidi"/>
        </w:rPr>
        <w:t>.</w:t>
      </w:r>
    </w:p>
    <w:sectPr w:rsidR="00E404DB" w:rsidRPr="003211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 DemiBoldSharp">
    <w:panose1 w:val="00000700000000000000"/>
    <w:charset w:val="00"/>
    <w:family w:val="modern"/>
    <w:notTrueType/>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2CDB"/>
    <w:rsid w:val="00005F60"/>
    <w:rsid w:val="00321146"/>
    <w:rsid w:val="00422CDB"/>
    <w:rsid w:val="00963D73"/>
    <w:rsid w:val="00C34D31"/>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1699163-CFC0-42D8-93FA-D579A42863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22CD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22CD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22CD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22CD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22CD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22CD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2CD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2CD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2CD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2CD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22CD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22CD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22CD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22CD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22CD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2CD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2CD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2CDB"/>
    <w:rPr>
      <w:rFonts w:eastAsiaTheme="majorEastAsia" w:cstheme="majorBidi"/>
      <w:color w:val="272727" w:themeColor="text1" w:themeTint="D8"/>
    </w:rPr>
  </w:style>
  <w:style w:type="paragraph" w:styleId="Title">
    <w:name w:val="Title"/>
    <w:basedOn w:val="Normal"/>
    <w:next w:val="Normal"/>
    <w:link w:val="TitleChar"/>
    <w:uiPriority w:val="10"/>
    <w:qFormat/>
    <w:rsid w:val="00422CD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2CD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2CD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22CD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2CDB"/>
    <w:pPr>
      <w:spacing w:before="160"/>
      <w:jc w:val="center"/>
    </w:pPr>
    <w:rPr>
      <w:i/>
      <w:iCs/>
      <w:color w:val="404040" w:themeColor="text1" w:themeTint="BF"/>
    </w:rPr>
  </w:style>
  <w:style w:type="character" w:customStyle="1" w:styleId="QuoteChar">
    <w:name w:val="Quote Char"/>
    <w:basedOn w:val="DefaultParagraphFont"/>
    <w:link w:val="Quote"/>
    <w:uiPriority w:val="29"/>
    <w:rsid w:val="00422CDB"/>
    <w:rPr>
      <w:i/>
      <w:iCs/>
      <w:color w:val="404040" w:themeColor="text1" w:themeTint="BF"/>
    </w:rPr>
  </w:style>
  <w:style w:type="paragraph" w:styleId="ListParagraph">
    <w:name w:val="List Paragraph"/>
    <w:basedOn w:val="Normal"/>
    <w:uiPriority w:val="34"/>
    <w:qFormat/>
    <w:rsid w:val="00422CDB"/>
    <w:pPr>
      <w:ind w:left="720"/>
      <w:contextualSpacing/>
    </w:pPr>
  </w:style>
  <w:style w:type="character" w:styleId="IntenseEmphasis">
    <w:name w:val="Intense Emphasis"/>
    <w:basedOn w:val="DefaultParagraphFont"/>
    <w:uiPriority w:val="21"/>
    <w:qFormat/>
    <w:rsid w:val="00422CDB"/>
    <w:rPr>
      <w:i/>
      <w:iCs/>
      <w:color w:val="2F5496" w:themeColor="accent1" w:themeShade="BF"/>
    </w:rPr>
  </w:style>
  <w:style w:type="paragraph" w:styleId="IntenseQuote">
    <w:name w:val="Intense Quote"/>
    <w:basedOn w:val="Normal"/>
    <w:next w:val="Normal"/>
    <w:link w:val="IntenseQuoteChar"/>
    <w:uiPriority w:val="30"/>
    <w:qFormat/>
    <w:rsid w:val="00422CD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22CDB"/>
    <w:rPr>
      <w:i/>
      <w:iCs/>
      <w:color w:val="2F5496" w:themeColor="accent1" w:themeShade="BF"/>
    </w:rPr>
  </w:style>
  <w:style w:type="character" w:styleId="IntenseReference">
    <w:name w:val="Intense Reference"/>
    <w:basedOn w:val="DefaultParagraphFont"/>
    <w:uiPriority w:val="32"/>
    <w:qFormat/>
    <w:rsid w:val="00422CD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947</Words>
  <Characters>5400</Characters>
  <Application>Microsoft Office Word</Application>
  <DocSecurity>0</DocSecurity>
  <Lines>45</Lines>
  <Paragraphs>12</Paragraphs>
  <ScaleCrop>false</ScaleCrop>
  <Company/>
  <LinksUpToDate>false</LinksUpToDate>
  <CharactersWithSpaces>6335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2025-11-16T21:14:00Z</dcterms:created>
  <dcterms:modified xsi:type="dcterms:W3CDTF">2025-11-16T21:17:00Z</dcterms:modified>
</cp:coreProperties>
</file>