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BBBB44" w14:textId="77777777" w:rsidR="001E1C9C" w:rsidRPr="001E1C9C" w:rsidRDefault="001E1C9C" w:rsidP="001E1C9C">
      <w:pPr>
        <w:jc w:val="center"/>
        <w:rPr>
          <w:rFonts w:ascii="AhangVariable UltraBold" w:hAnsi="AhangVariable UltraBold" w:cs="AhangVariable UltraBold"/>
          <w:b/>
          <w:bCs/>
        </w:rPr>
      </w:pPr>
      <w:r w:rsidRPr="001E1C9C">
        <w:rPr>
          <w:rFonts w:ascii="AhangVariable UltraBold" w:hAnsi="AhangVariable UltraBold" w:cs="AhangVariable UltraBold"/>
          <w:b/>
          <w:bCs/>
          <w:rtl/>
        </w:rPr>
        <w:t>موضوع</w:t>
      </w:r>
      <w:r w:rsidRPr="001E1C9C">
        <w:rPr>
          <w:rFonts w:ascii="AhangVariable UltraBold" w:hAnsi="AhangVariable UltraBold" w:cs="AhangVariable UltraBold"/>
          <w:b/>
          <w:bCs/>
        </w:rPr>
        <w:t>:</w:t>
      </w:r>
      <w:r w:rsidRPr="001E1C9C">
        <w:rPr>
          <w:rFonts w:ascii="AhangVariable UltraBold" w:hAnsi="AhangVariable UltraBold" w:cs="AhangVariable UltraBold"/>
          <w:b/>
          <w:bCs/>
          <w:rtl/>
        </w:rPr>
        <w:t>بانکداری اسلامی/ مزارعه / فروعات باب مزارعه</w:t>
      </w:r>
    </w:p>
    <w:p w14:paraId="1F5E53F9" w14:textId="7708B95A" w:rsidR="001E1C9C" w:rsidRPr="001E1C9C" w:rsidRDefault="001E1C9C" w:rsidP="001E1C9C">
      <w:pPr>
        <w:jc w:val="right"/>
        <w:rPr>
          <w:rFonts w:cstheme="minorHAnsi"/>
          <w:b/>
          <w:bCs/>
        </w:rPr>
      </w:pPr>
      <w:r w:rsidRPr="001E1C9C">
        <w:rPr>
          <w:rFonts w:cstheme="minorHAnsi"/>
          <w:b/>
          <w:bCs/>
        </w:rPr>
        <w:br/>
      </w:r>
      <w:r w:rsidRPr="001E1C9C">
        <w:rPr>
          <w:rFonts w:cstheme="minorHAnsi"/>
          <w:b/>
          <w:bCs/>
          <w:rtl/>
        </w:rPr>
        <w:t>امین بودن زارع در زراعت</w:t>
      </w:r>
      <w:r w:rsidRPr="001E1C9C">
        <w:rPr>
          <w:rFonts w:cstheme="minorHAnsi"/>
          <w:b/>
          <w:bCs/>
        </w:rPr>
        <w:br/>
      </w:r>
      <w:r w:rsidRPr="001E1C9C">
        <w:rPr>
          <w:rFonts w:cstheme="minorHAnsi"/>
          <w:b/>
          <w:bCs/>
          <w:rtl/>
        </w:rPr>
        <w:t>سید یزدی در کتاب شریف عروه الوثقی می فرماید</w:t>
      </w:r>
      <w:bookmarkStart w:id="0" w:name="_ftnref1"/>
      <w:r w:rsidRPr="001E1C9C">
        <w:rPr>
          <w:rFonts w:cstheme="minorHAnsi"/>
          <w:b/>
          <w:bCs/>
        </w:rPr>
        <w:fldChar w:fldCharType="begin"/>
      </w:r>
      <w:r w:rsidRPr="001E1C9C">
        <w:rPr>
          <w:rFonts w:cstheme="minorHAnsi"/>
          <w:b/>
          <w:bCs/>
        </w:rPr>
        <w:instrText>HYPERLINK "https://eshia.ir/feqh/archive/text/jazayeri/feqh/93/931127/" \l "_ftn1" \o "</w:instrText>
      </w:r>
      <w:r w:rsidRPr="001E1C9C">
        <w:rPr>
          <w:rFonts w:cstheme="minorHAnsi"/>
          <w:b/>
          <w:bCs/>
          <w:rtl/>
        </w:rPr>
        <w:instrText>العروه الوثقی، السید محمد</w:instrText>
      </w:r>
      <w:r w:rsidRPr="001E1C9C">
        <w:rPr>
          <w:rFonts w:cstheme="minorHAnsi"/>
          <w:b/>
          <w:bCs/>
        </w:rPr>
        <w:instrText xml:space="preserve">
</w:instrText>
      </w:r>
      <w:r w:rsidRPr="001E1C9C">
        <w:rPr>
          <w:rFonts w:cstheme="minorHAnsi"/>
          <w:b/>
          <w:bCs/>
          <w:rtl/>
        </w:rPr>
        <w:instrText>کاظم الطباطبایی الیزدی، ج5، ص340</w:instrText>
      </w:r>
      <w:r w:rsidRPr="001E1C9C">
        <w:rPr>
          <w:rFonts w:cstheme="minorHAnsi"/>
          <w:b/>
          <w:bCs/>
        </w:rPr>
        <w:instrText>"</w:instrText>
      </w:r>
      <w:r w:rsidRPr="001E1C9C">
        <w:rPr>
          <w:rFonts w:cstheme="minorHAnsi"/>
          <w:b/>
          <w:bCs/>
        </w:rPr>
      </w:r>
      <w:r w:rsidRPr="001E1C9C">
        <w:rPr>
          <w:rFonts w:cstheme="minorHAnsi"/>
          <w:b/>
          <w:bCs/>
        </w:rPr>
        <w:fldChar w:fldCharType="separate"/>
      </w:r>
      <w:r w:rsidRPr="001E1C9C">
        <w:rPr>
          <w:rStyle w:val="Hyperlink"/>
          <w:rFonts w:cstheme="minorHAnsi"/>
          <w:b/>
          <w:bCs/>
        </w:rPr>
        <w:t>[1]</w:t>
      </w:r>
      <w:r w:rsidRPr="001E1C9C">
        <w:rPr>
          <w:rFonts w:cstheme="minorHAnsi"/>
          <w:b/>
          <w:bCs/>
        </w:rPr>
        <w:fldChar w:fldCharType="end"/>
      </w:r>
      <w:bookmarkEnd w:id="0"/>
      <w:r w:rsidRPr="001E1C9C">
        <w:rPr>
          <w:rFonts w:cstheme="minorHAnsi"/>
          <w:b/>
          <w:bCs/>
        </w:rPr>
        <w:t xml:space="preserve">: </w:t>
      </w:r>
      <w:r w:rsidRPr="001E1C9C">
        <w:rPr>
          <w:rFonts w:cstheme="minorHAnsi"/>
          <w:b/>
          <w:bCs/>
          <w:rtl/>
        </w:rPr>
        <w:t>اگر مالک ادعا کند که عامل در عمل خود تقصیر کرده و زرع با کیفیت مطلوب نروییده، زارع نیز این ادعای مالک را انکار کند، قول زارع پذیرفته می شود؛ زیرا او در عمل زراعت امین شمرده شده و قول هر کس که معتمد و امین شمرده شود، پذیرفته خواهد بود</w:t>
      </w:r>
      <w:r w:rsidRPr="001E1C9C">
        <w:rPr>
          <w:rFonts w:cstheme="minorHAnsi"/>
          <w:b/>
          <w:bCs/>
        </w:rPr>
        <w:t>.</w:t>
      </w:r>
      <w:r w:rsidRPr="001E1C9C">
        <w:rPr>
          <w:rFonts w:cstheme="minorHAnsi"/>
          <w:b/>
          <w:bCs/>
        </w:rPr>
        <w:br/>
      </w:r>
      <w:r w:rsidRPr="001E1C9C">
        <w:rPr>
          <w:rFonts w:cstheme="minorHAnsi"/>
          <w:b/>
          <w:bCs/>
          <w:rtl/>
        </w:rPr>
        <w:t>همچنین اگر مالک ادعا کند که زارع بعد از بدست آمدن محصول در حفظ آن کوتاهی کرده که باعث تلف شدن مقداری از آن شده و زارع منکر این ادعا باشد، زارع در جایگاه منکر قرار می گیرد، در صورتی که مالک اقامه بینه نماید ادعای او تایید می شود اما در غیر این صورت قول زارع با قسم پذیرفته می شود، دلیل این حکم نیز همان است که در صورت قبلی بیان شد یعنی امین بودن زارع</w:t>
      </w:r>
      <w:r w:rsidRPr="001E1C9C">
        <w:rPr>
          <w:rFonts w:cstheme="minorHAnsi"/>
          <w:b/>
          <w:bCs/>
        </w:rPr>
        <w:t>.</w:t>
      </w:r>
      <w:r w:rsidRPr="001E1C9C">
        <w:rPr>
          <w:rFonts w:cstheme="minorHAnsi"/>
          <w:b/>
          <w:bCs/>
        </w:rPr>
        <w:br/>
      </w:r>
      <w:r w:rsidRPr="001E1C9C">
        <w:rPr>
          <w:rFonts w:cstheme="minorHAnsi"/>
          <w:b/>
          <w:bCs/>
          <w:rtl/>
        </w:rPr>
        <w:t>سید خویی نیز فرموده</w:t>
      </w:r>
      <w:r w:rsidRPr="001E1C9C">
        <w:rPr>
          <w:rFonts w:cstheme="minorHAnsi"/>
          <w:b/>
          <w:bCs/>
        </w:rPr>
        <w:t>: « </w:t>
      </w:r>
      <w:r w:rsidRPr="001E1C9C">
        <w:rPr>
          <w:rFonts w:cstheme="minorHAnsi"/>
          <w:b/>
          <w:bCs/>
          <w:rtl/>
        </w:rPr>
        <w:t>و هو مضافاً إلى ما يستفاد من جملة من النصوص من قبول قول الأمين و عدم مطالبته بالإثبات ما لم يثبت خلافه، السيرة العملية القطعية المتصلة بعهد المعصومين (عليهم السلام)، حيث جرى بناء العقلاء من المتشرعة و غيرهم على قبول قول الوكيل فيما هو وكيل فيه</w:t>
      </w:r>
      <w:r w:rsidRPr="001E1C9C">
        <w:rPr>
          <w:rFonts w:cstheme="minorHAnsi"/>
          <w:b/>
          <w:bCs/>
        </w:rPr>
        <w:t>»</w:t>
      </w:r>
      <w:bookmarkStart w:id="1" w:name="_ftnref2"/>
      <w:r w:rsidRPr="001E1C9C">
        <w:rPr>
          <w:rFonts w:cstheme="minorHAnsi"/>
          <w:b/>
          <w:bCs/>
        </w:rPr>
        <w:fldChar w:fldCharType="begin"/>
      </w:r>
      <w:r w:rsidRPr="001E1C9C">
        <w:rPr>
          <w:rFonts w:cstheme="minorHAnsi"/>
          <w:b/>
          <w:bCs/>
        </w:rPr>
        <w:instrText xml:space="preserve">HYPERLINK "https://eshia.ir/feqh/archive/text/jazayeri/feqh/93/931127/" \l "_ftn2" \o " </w:instrText>
      </w:r>
      <w:r w:rsidRPr="001E1C9C">
        <w:rPr>
          <w:rFonts w:cstheme="minorHAnsi"/>
          <w:b/>
          <w:bCs/>
          <w:rtl/>
        </w:rPr>
        <w:instrText>موسوعه الامام الخویی، السید ابوالقاسم</w:instrText>
      </w:r>
      <w:r w:rsidRPr="001E1C9C">
        <w:rPr>
          <w:rFonts w:cstheme="minorHAnsi"/>
          <w:b/>
          <w:bCs/>
        </w:rPr>
        <w:instrText xml:space="preserve">
</w:instrText>
      </w:r>
      <w:r w:rsidRPr="001E1C9C">
        <w:rPr>
          <w:rFonts w:cstheme="minorHAnsi"/>
          <w:b/>
          <w:bCs/>
          <w:rtl/>
        </w:rPr>
        <w:instrText>الخویی، ج31، ص312</w:instrText>
      </w:r>
      <w:r w:rsidRPr="001E1C9C">
        <w:rPr>
          <w:rFonts w:cstheme="minorHAnsi"/>
          <w:b/>
          <w:bCs/>
        </w:rPr>
        <w:instrText>"</w:instrText>
      </w:r>
      <w:r w:rsidRPr="001E1C9C">
        <w:rPr>
          <w:rFonts w:cstheme="minorHAnsi"/>
          <w:b/>
          <w:bCs/>
        </w:rPr>
      </w:r>
      <w:r w:rsidRPr="001E1C9C">
        <w:rPr>
          <w:rFonts w:cstheme="minorHAnsi"/>
          <w:b/>
          <w:bCs/>
        </w:rPr>
        <w:fldChar w:fldCharType="separate"/>
      </w:r>
      <w:r w:rsidRPr="001E1C9C">
        <w:rPr>
          <w:rStyle w:val="Hyperlink"/>
          <w:rFonts w:cstheme="minorHAnsi"/>
          <w:b/>
          <w:bCs/>
        </w:rPr>
        <w:t>[2]</w:t>
      </w:r>
      <w:r w:rsidRPr="001E1C9C">
        <w:rPr>
          <w:rFonts w:cstheme="minorHAnsi"/>
          <w:b/>
          <w:bCs/>
        </w:rPr>
        <w:fldChar w:fldCharType="end"/>
      </w:r>
      <w:bookmarkEnd w:id="1"/>
      <w:r w:rsidRPr="001E1C9C">
        <w:rPr>
          <w:rFonts w:cstheme="minorHAnsi"/>
          <w:b/>
          <w:bCs/>
        </w:rPr>
        <w:t> </w:t>
      </w:r>
      <w:r w:rsidRPr="001E1C9C">
        <w:rPr>
          <w:rFonts w:cstheme="minorHAnsi"/>
          <w:b/>
          <w:bCs/>
          <w:rtl/>
        </w:rPr>
        <w:t>ایشان می فرماید: سیره عملی و قطعی که متصل به زمان معصومین است قائم بر قبول قول وکیل شده و او در وکالت خود امین شمرده می شود</w:t>
      </w:r>
      <w:r w:rsidRPr="001E1C9C">
        <w:rPr>
          <w:rFonts w:cstheme="minorHAnsi"/>
          <w:b/>
          <w:bCs/>
        </w:rPr>
        <w:t>.</w:t>
      </w:r>
      <w:r w:rsidRPr="001E1C9C">
        <w:rPr>
          <w:rFonts w:cstheme="minorHAnsi"/>
          <w:b/>
          <w:bCs/>
        </w:rPr>
        <w:br/>
      </w:r>
      <w:r w:rsidRPr="001E1C9C">
        <w:rPr>
          <w:rFonts w:cstheme="minorHAnsi"/>
          <w:b/>
          <w:bCs/>
          <w:rtl/>
        </w:rPr>
        <w:t>استدلال به قاعده من ملک بر امین بودن عامل</w:t>
      </w:r>
      <w:r w:rsidRPr="001E1C9C">
        <w:rPr>
          <w:rFonts w:cstheme="minorHAnsi"/>
          <w:b/>
          <w:bCs/>
        </w:rPr>
        <w:br/>
      </w:r>
      <w:r w:rsidRPr="001E1C9C">
        <w:rPr>
          <w:rFonts w:cstheme="minorHAnsi"/>
          <w:b/>
          <w:bCs/>
          <w:rtl/>
        </w:rPr>
        <w:t>همین بیان دلیلِ قاعده «من ملك شيئاً ملك الإقرار به» که معروف به قاعده من ملک است، می باشد. معنای این قاعده این است که اقرار کسی که کاری به او محول شده در حیطه عملش نافذ می باشد. مثلا اگر چیزی در دست وکیل بود که نجاست و پاکی آن معلوم نبود و گفت که آن پاک است قول او پذیرفته می شود مثال دیگر آنکه اگر شخصی مامور در خرید یا فروش چیزی بود و ما در صحت آن معامله شک داشتیم، اگر شخص بگوید معامله صحیح واقع شده، قول او تایید می گردد. باید توجه داشت که این قاعده با قاعده «اقرار العقلا علی انفسهم جایز» که معروف به قاعده اقرار است تفاوت دارد</w:t>
      </w:r>
      <w:r w:rsidRPr="001E1C9C">
        <w:rPr>
          <w:rFonts w:cstheme="minorHAnsi"/>
          <w:b/>
          <w:bCs/>
        </w:rPr>
        <w:t>.</w:t>
      </w:r>
      <w:r w:rsidRPr="001E1C9C">
        <w:rPr>
          <w:rFonts w:cstheme="minorHAnsi"/>
          <w:b/>
          <w:bCs/>
        </w:rPr>
        <w:br/>
      </w:r>
      <w:r w:rsidRPr="001E1C9C">
        <w:rPr>
          <w:rFonts w:cstheme="minorHAnsi"/>
          <w:b/>
          <w:bCs/>
          <w:rtl/>
        </w:rPr>
        <w:t>نتیجه اینکه اگر زارع ادعای خسارت کرد و یا در مورد مقدار محصول ادعایی کرد که کمتر از مقداری بود که مالک ادعا کرده، قول او پذیرفته می شود. البته در دعوای قضایی بنا بر احکام قضاء حکم می شود، یعنی آنکس که قولش مطابق با اصل است منکر و طرف دیگر مدعی محسوب می شود و باید اقامه بینه کند اما قول منکر با قسم پذیرفته می شود</w:t>
      </w:r>
      <w:r w:rsidRPr="001E1C9C">
        <w:rPr>
          <w:rFonts w:cstheme="minorHAnsi"/>
          <w:b/>
          <w:bCs/>
        </w:rPr>
        <w:t>.</w:t>
      </w:r>
      <w:r w:rsidRPr="001E1C9C">
        <w:rPr>
          <w:rFonts w:cstheme="minorHAnsi"/>
          <w:b/>
          <w:bCs/>
        </w:rPr>
        <w:br/>
      </w:r>
      <w:r w:rsidRPr="001E1C9C">
        <w:rPr>
          <w:rFonts w:cstheme="minorHAnsi"/>
          <w:b/>
          <w:bCs/>
          <w:rtl/>
        </w:rPr>
        <w:t>مستحبات زراعت</w:t>
      </w:r>
      <w:r w:rsidRPr="001E1C9C">
        <w:rPr>
          <w:rFonts w:cstheme="minorHAnsi"/>
          <w:b/>
          <w:bCs/>
        </w:rPr>
        <w:br/>
      </w:r>
      <w:r w:rsidRPr="001E1C9C">
        <w:rPr>
          <w:rFonts w:cstheme="minorHAnsi"/>
          <w:b/>
          <w:bCs/>
          <w:rtl/>
        </w:rPr>
        <w:t>مطلب دیگر مستحبات باب مزارعه است. صاحب وسائل در باب پنجم از ابواب کتاب مزارعه و مساقات مجموعه روایاتی که در مورد مستحبات این دو کتاب است را جمع آوری نموده</w:t>
      </w:r>
      <w:r w:rsidRPr="001E1C9C">
        <w:rPr>
          <w:rFonts w:cstheme="minorHAnsi"/>
          <w:b/>
          <w:bCs/>
        </w:rPr>
        <w:t>.</w:t>
      </w:r>
      <w:r w:rsidRPr="001E1C9C">
        <w:rPr>
          <w:rFonts w:cstheme="minorHAnsi"/>
          <w:b/>
          <w:bCs/>
        </w:rPr>
        <w:br/>
      </w:r>
      <w:r w:rsidRPr="001E1C9C">
        <w:rPr>
          <w:rFonts w:cstheme="minorHAnsi"/>
          <w:b/>
          <w:bCs/>
          <w:rtl/>
        </w:rPr>
        <w:t>عَنْ أَبِي عَبْدِ اللَّهِ ع قَالَ: إِذَا بَذَرْتَ فَقُلِ- اللَّهُمَّ قَدْ بَذَرْنَا وَ أَنْتَ الزَّارِعُ- فَاجْعَلْهُ حَبّاً مُتَرَاكِماً </w:t>
      </w:r>
      <w:bookmarkStart w:id="2" w:name="_ftnref3"/>
      <w:r w:rsidRPr="001E1C9C">
        <w:rPr>
          <w:rFonts w:cstheme="minorHAnsi"/>
          <w:b/>
          <w:bCs/>
        </w:rPr>
        <w:fldChar w:fldCharType="begin"/>
      </w:r>
      <w:r w:rsidRPr="001E1C9C">
        <w:rPr>
          <w:rFonts w:cstheme="minorHAnsi"/>
          <w:b/>
          <w:bCs/>
        </w:rPr>
        <w:instrText>HYPERLINK "https://eshia.ir/feqh/archive/text/jazayeri/feqh/93/931127/" \l "_ftn3" \o "</w:instrText>
      </w:r>
      <w:r w:rsidRPr="001E1C9C">
        <w:rPr>
          <w:rFonts w:cstheme="minorHAnsi"/>
          <w:b/>
          <w:bCs/>
          <w:rtl/>
        </w:rPr>
        <w:instrText>وسائل</w:instrText>
      </w:r>
      <w:r w:rsidRPr="001E1C9C">
        <w:rPr>
          <w:rFonts w:cstheme="minorHAnsi"/>
          <w:b/>
          <w:bCs/>
        </w:rPr>
        <w:instrText xml:space="preserve">
</w:instrText>
      </w:r>
      <w:r w:rsidRPr="001E1C9C">
        <w:rPr>
          <w:rFonts w:cstheme="minorHAnsi"/>
          <w:b/>
          <w:bCs/>
          <w:rtl/>
        </w:rPr>
        <w:instrText>الشیعه، شیخ حر عاملی، ج 19، ص 37، أبواب المزارعه و المساقات،</w:instrText>
      </w:r>
      <w:r w:rsidRPr="001E1C9C">
        <w:rPr>
          <w:rFonts w:cstheme="minorHAnsi"/>
          <w:b/>
          <w:bCs/>
        </w:rPr>
        <w:instrText xml:space="preserve">
</w:instrText>
      </w:r>
      <w:r w:rsidRPr="001E1C9C">
        <w:rPr>
          <w:rFonts w:cstheme="minorHAnsi"/>
          <w:b/>
          <w:bCs/>
          <w:rtl/>
        </w:rPr>
        <w:instrText>باب 5، شماره 24098،</w:instrText>
      </w:r>
      <w:r w:rsidRPr="001E1C9C">
        <w:rPr>
          <w:rFonts w:cstheme="minorHAnsi"/>
          <w:b/>
          <w:bCs/>
        </w:rPr>
        <w:instrText xml:space="preserve">
</w:instrText>
      </w:r>
      <w:r w:rsidRPr="001E1C9C">
        <w:rPr>
          <w:rFonts w:cstheme="minorHAnsi"/>
          <w:b/>
          <w:bCs/>
          <w:rtl/>
        </w:rPr>
        <w:instrText>ح 2،ط آل البیت</w:instrText>
      </w:r>
      <w:r w:rsidRPr="001E1C9C">
        <w:rPr>
          <w:rFonts w:cstheme="minorHAnsi"/>
          <w:b/>
          <w:bCs/>
        </w:rPr>
        <w:instrText>."</w:instrText>
      </w:r>
      <w:r w:rsidRPr="001E1C9C">
        <w:rPr>
          <w:rFonts w:cstheme="minorHAnsi"/>
          <w:b/>
          <w:bCs/>
        </w:rPr>
      </w:r>
      <w:r w:rsidRPr="001E1C9C">
        <w:rPr>
          <w:rFonts w:cstheme="minorHAnsi"/>
          <w:b/>
          <w:bCs/>
        </w:rPr>
        <w:fldChar w:fldCharType="separate"/>
      </w:r>
      <w:r w:rsidRPr="001E1C9C">
        <w:rPr>
          <w:rStyle w:val="Hyperlink"/>
          <w:rFonts w:cstheme="minorHAnsi"/>
          <w:b/>
          <w:bCs/>
        </w:rPr>
        <w:t>[3]</w:t>
      </w:r>
      <w:r w:rsidRPr="001E1C9C">
        <w:rPr>
          <w:rFonts w:cstheme="minorHAnsi"/>
          <w:b/>
          <w:bCs/>
        </w:rPr>
        <w:fldChar w:fldCharType="end"/>
      </w:r>
      <w:bookmarkEnd w:id="2"/>
      <w:r w:rsidRPr="001E1C9C">
        <w:rPr>
          <w:rFonts w:cstheme="minorHAnsi"/>
          <w:b/>
          <w:bCs/>
        </w:rPr>
        <w:br/>
      </w:r>
      <w:r w:rsidRPr="001E1C9C">
        <w:rPr>
          <w:rFonts w:cstheme="minorHAnsi"/>
          <w:b/>
          <w:bCs/>
          <w:rtl/>
        </w:rPr>
        <w:t>مستحب است زارع هنگام پاشیدن بذر دعا نماید و در دعای خود بگوید</w:t>
      </w:r>
      <w:r w:rsidRPr="001E1C9C">
        <w:rPr>
          <w:rFonts w:cstheme="minorHAnsi"/>
          <w:b/>
          <w:bCs/>
        </w:rPr>
        <w:t>:«</w:t>
      </w:r>
      <w:r w:rsidRPr="001E1C9C">
        <w:rPr>
          <w:rFonts w:cstheme="minorHAnsi"/>
          <w:b/>
          <w:bCs/>
          <w:rtl/>
        </w:rPr>
        <w:t>اللهم قد بذرنا و انت الزارع فجعله حبا متراکما</w:t>
      </w:r>
      <w:r w:rsidRPr="001E1C9C">
        <w:rPr>
          <w:rFonts w:cstheme="minorHAnsi"/>
          <w:b/>
          <w:bCs/>
        </w:rPr>
        <w:t>». </w:t>
      </w:r>
      <w:r w:rsidRPr="001E1C9C">
        <w:rPr>
          <w:rFonts w:cstheme="minorHAnsi"/>
          <w:b/>
          <w:bCs/>
          <w:rtl/>
        </w:rPr>
        <w:t>عمل انسان تنها به قدر شخم زمین و بذر پاشیدن و آب دادن است، اما آنکه بذر را می رویاند خداوند تعالی ست</w:t>
      </w:r>
      <w:r w:rsidRPr="001E1C9C">
        <w:rPr>
          <w:rFonts w:cstheme="minorHAnsi"/>
          <w:b/>
          <w:bCs/>
        </w:rPr>
        <w:t>.</w:t>
      </w:r>
      <w:r w:rsidRPr="001E1C9C">
        <w:rPr>
          <w:rFonts w:cstheme="minorHAnsi"/>
          <w:b/>
          <w:bCs/>
        </w:rPr>
        <w:br/>
      </w:r>
      <w:r w:rsidRPr="001E1C9C">
        <w:rPr>
          <w:rFonts w:cstheme="minorHAnsi"/>
          <w:b/>
          <w:bCs/>
          <w:rtl/>
        </w:rPr>
        <w:t>قَالَ أَبُو عَبْدِ اللَّهِ ع إِذَا أَرَدْتَ أَنْ</w:t>
      </w:r>
      <w:r w:rsidRPr="001E1C9C">
        <w:rPr>
          <w:rFonts w:cstheme="minorHAnsi"/>
          <w:b/>
          <w:bCs/>
        </w:rPr>
        <w:t>‌ </w:t>
      </w:r>
      <w:r w:rsidRPr="001E1C9C">
        <w:rPr>
          <w:rFonts w:cstheme="minorHAnsi"/>
          <w:b/>
          <w:bCs/>
          <w:rtl/>
        </w:rPr>
        <w:t>تَزْرَعَ زَرْعاً- فَخُذْ قَبْضَةً مِنَ الْبَذْرِ وَ اسْتَقْبِلِ الْقِبْلَةَ- وَ قُلْ أَ فَرَأَيْتُمْ مٰا تَحْرُثُونَ- أَ أَنْتُمْ تَزْرَعُونَهُ أَمْ نَحْنُ الزّٰارِعُونَ ثَلَاثَ مَرَّاتٍ- ثُمَّ تَقُولُ بَلِ اللَّهُ الزَّارِعُ ثَلَاثَ مَرَّاتٍ- ثُمَّ قُلِ اللَّهُمَّ اجْعَلْهُ حَبّاً مُبَارَكاً- وَ ارْزُقْنَا فِيهِ السَّلَامَةَ- ثُمَّ انْثُرِ الْقَبْضَةَ الَّتِي فِي يَدِكَ فِي الْقَرَاحِ</w:t>
      </w:r>
      <w:r w:rsidRPr="001E1C9C">
        <w:rPr>
          <w:rFonts w:cstheme="minorHAnsi"/>
          <w:b/>
          <w:bCs/>
        </w:rPr>
        <w:t>.</w:t>
      </w:r>
      <w:bookmarkStart w:id="3" w:name="_ftnref4"/>
      <w:r w:rsidRPr="001E1C9C">
        <w:rPr>
          <w:rFonts w:cstheme="minorHAnsi"/>
          <w:b/>
          <w:bCs/>
        </w:rPr>
        <w:fldChar w:fldCharType="begin"/>
      </w:r>
      <w:r w:rsidRPr="001E1C9C">
        <w:rPr>
          <w:rFonts w:cstheme="minorHAnsi"/>
          <w:b/>
          <w:bCs/>
        </w:rPr>
        <w:instrText>HYPERLINK "https://eshia.ir/feqh/archive/text/jazayeri/feqh/93/931127/" \l "_ftn4" \o "</w:instrText>
      </w:r>
      <w:r w:rsidRPr="001E1C9C">
        <w:rPr>
          <w:rFonts w:cstheme="minorHAnsi"/>
          <w:b/>
          <w:bCs/>
          <w:rtl/>
        </w:rPr>
        <w:instrText>وسائل الشیعه، شیخ حر</w:instrText>
      </w:r>
      <w:r w:rsidRPr="001E1C9C">
        <w:rPr>
          <w:rFonts w:cstheme="minorHAnsi"/>
          <w:b/>
          <w:bCs/>
        </w:rPr>
        <w:instrText xml:space="preserve">
</w:instrText>
      </w:r>
      <w:r w:rsidRPr="001E1C9C">
        <w:rPr>
          <w:rFonts w:cstheme="minorHAnsi"/>
          <w:b/>
          <w:bCs/>
          <w:rtl/>
        </w:rPr>
        <w:instrText>عاملی، ج 19، ص 37، أبواب المزارعه و المساقات، باب 5، شماره 24099، ح 3،ط آل</w:instrText>
      </w:r>
      <w:r w:rsidRPr="001E1C9C">
        <w:rPr>
          <w:rFonts w:cstheme="minorHAnsi"/>
          <w:b/>
          <w:bCs/>
        </w:rPr>
        <w:instrText xml:space="preserve">
</w:instrText>
      </w:r>
      <w:r w:rsidRPr="001E1C9C">
        <w:rPr>
          <w:rFonts w:cstheme="minorHAnsi"/>
          <w:b/>
          <w:bCs/>
          <w:rtl/>
        </w:rPr>
        <w:instrText>البیت</w:instrText>
      </w:r>
      <w:r w:rsidRPr="001E1C9C">
        <w:rPr>
          <w:rFonts w:cstheme="minorHAnsi"/>
          <w:b/>
          <w:bCs/>
        </w:rPr>
        <w:instrText>."</w:instrText>
      </w:r>
      <w:r w:rsidRPr="001E1C9C">
        <w:rPr>
          <w:rFonts w:cstheme="minorHAnsi"/>
          <w:b/>
          <w:bCs/>
        </w:rPr>
      </w:r>
      <w:r w:rsidRPr="001E1C9C">
        <w:rPr>
          <w:rFonts w:cstheme="minorHAnsi"/>
          <w:b/>
          <w:bCs/>
        </w:rPr>
        <w:fldChar w:fldCharType="separate"/>
      </w:r>
      <w:r w:rsidRPr="001E1C9C">
        <w:rPr>
          <w:rStyle w:val="Hyperlink"/>
          <w:rFonts w:cstheme="minorHAnsi"/>
          <w:b/>
          <w:bCs/>
        </w:rPr>
        <w:t>[4]</w:t>
      </w:r>
      <w:r w:rsidRPr="001E1C9C">
        <w:rPr>
          <w:rFonts w:cstheme="minorHAnsi"/>
          <w:b/>
          <w:bCs/>
        </w:rPr>
        <w:fldChar w:fldCharType="end"/>
      </w:r>
      <w:bookmarkEnd w:id="3"/>
      <w:r w:rsidRPr="001E1C9C">
        <w:rPr>
          <w:rFonts w:cstheme="minorHAnsi"/>
          <w:b/>
          <w:bCs/>
        </w:rPr>
        <w:br/>
      </w:r>
      <w:r w:rsidRPr="001E1C9C">
        <w:rPr>
          <w:rFonts w:cstheme="minorHAnsi"/>
          <w:b/>
          <w:bCs/>
          <w:rtl/>
        </w:rPr>
        <w:t>هرگاه قصد کشت بذر کردی، مشتت را پر کن و سه مرتبه روبه قبله بگو</w:t>
      </w:r>
      <w:r w:rsidRPr="001E1C9C">
        <w:rPr>
          <w:rFonts w:cstheme="minorHAnsi"/>
          <w:b/>
          <w:bCs/>
        </w:rPr>
        <w:t>«</w:t>
      </w:r>
      <w:r w:rsidRPr="001E1C9C">
        <w:rPr>
          <w:rFonts w:cstheme="minorHAnsi"/>
          <w:b/>
          <w:bCs/>
          <w:rtl/>
        </w:rPr>
        <w:t>أَ فَرَأَيْتُمْ مٰا تَحْرُثُونَ- أَ أَنْتُمْ تَزْرَعُونَهُ أَمْ نَحْنُ الزّٰارِعُونَ</w:t>
      </w:r>
      <w:r w:rsidRPr="001E1C9C">
        <w:rPr>
          <w:rFonts w:cstheme="minorHAnsi"/>
          <w:b/>
          <w:bCs/>
        </w:rPr>
        <w:t>»</w:t>
      </w:r>
      <w:bookmarkStart w:id="4" w:name="_ftnref5"/>
      <w:r w:rsidRPr="001E1C9C">
        <w:rPr>
          <w:rFonts w:cstheme="minorHAnsi"/>
          <w:b/>
          <w:bCs/>
        </w:rPr>
        <w:fldChar w:fldCharType="begin"/>
      </w:r>
      <w:r w:rsidRPr="001E1C9C">
        <w:rPr>
          <w:rFonts w:cstheme="minorHAnsi"/>
          <w:b/>
          <w:bCs/>
        </w:rPr>
        <w:instrText>HYPERLINK "https://eshia.ir/feqh/archive/text/jazayeri/feqh/93/931127/" \l "_ftn5" \o "</w:instrText>
      </w:r>
      <w:r w:rsidRPr="001E1C9C">
        <w:rPr>
          <w:rFonts w:cstheme="minorHAnsi"/>
          <w:b/>
          <w:bCs/>
          <w:rtl/>
        </w:rPr>
        <w:instrText>واقعه/سوره56، آیه64</w:instrText>
      </w:r>
      <w:r w:rsidRPr="001E1C9C">
        <w:rPr>
          <w:rFonts w:cstheme="minorHAnsi"/>
          <w:b/>
          <w:bCs/>
        </w:rPr>
        <w:instrText>."</w:instrText>
      </w:r>
      <w:r w:rsidRPr="001E1C9C">
        <w:rPr>
          <w:rFonts w:cstheme="minorHAnsi"/>
          <w:b/>
          <w:bCs/>
        </w:rPr>
      </w:r>
      <w:r w:rsidRPr="001E1C9C">
        <w:rPr>
          <w:rFonts w:cstheme="minorHAnsi"/>
          <w:b/>
          <w:bCs/>
        </w:rPr>
        <w:fldChar w:fldCharType="separate"/>
      </w:r>
      <w:r w:rsidRPr="001E1C9C">
        <w:rPr>
          <w:rStyle w:val="Hyperlink"/>
          <w:rFonts w:cstheme="minorHAnsi"/>
          <w:b/>
          <w:bCs/>
        </w:rPr>
        <w:t> [5]</w:t>
      </w:r>
      <w:r w:rsidRPr="001E1C9C">
        <w:rPr>
          <w:rFonts w:cstheme="minorHAnsi"/>
          <w:b/>
          <w:bCs/>
        </w:rPr>
        <w:fldChar w:fldCharType="end"/>
      </w:r>
      <w:bookmarkEnd w:id="4"/>
      <w:r w:rsidRPr="001E1C9C">
        <w:rPr>
          <w:rFonts w:cstheme="minorHAnsi"/>
          <w:b/>
          <w:bCs/>
          <w:rtl/>
        </w:rPr>
        <w:t>و بعد از آن در جواب به سوال موجود در آیه سه بار بگو </w:t>
      </w:r>
      <w:r w:rsidRPr="001E1C9C">
        <w:rPr>
          <w:rFonts w:cstheme="minorHAnsi"/>
          <w:b/>
          <w:bCs/>
        </w:rPr>
        <w:t>«</w:t>
      </w:r>
      <w:r w:rsidRPr="001E1C9C">
        <w:rPr>
          <w:rFonts w:cstheme="minorHAnsi"/>
          <w:b/>
          <w:bCs/>
          <w:rtl/>
        </w:rPr>
        <w:t>بل الله الزارع</w:t>
      </w:r>
      <w:r w:rsidRPr="001E1C9C">
        <w:rPr>
          <w:rFonts w:cstheme="minorHAnsi"/>
          <w:b/>
          <w:bCs/>
        </w:rPr>
        <w:t>»</w:t>
      </w:r>
      <w:r w:rsidRPr="001E1C9C">
        <w:rPr>
          <w:rFonts w:cstheme="minorHAnsi"/>
          <w:b/>
          <w:bCs/>
          <w:rtl/>
        </w:rPr>
        <w:t>بعد از آن نیز بگو </w:t>
      </w:r>
      <w:r w:rsidRPr="001E1C9C">
        <w:rPr>
          <w:rFonts w:cstheme="minorHAnsi"/>
          <w:b/>
          <w:bCs/>
        </w:rPr>
        <w:t xml:space="preserve">« </w:t>
      </w:r>
      <w:r w:rsidRPr="001E1C9C">
        <w:rPr>
          <w:rFonts w:cstheme="minorHAnsi"/>
          <w:b/>
          <w:bCs/>
          <w:rtl/>
        </w:rPr>
        <w:t>اللَّهُمَّ اجْعَلْهُ حَبّاً مُبَارَكاً- وَ ارْزُقْنَا فِيهِ السَّلَامَة</w:t>
      </w:r>
      <w:r w:rsidRPr="001E1C9C">
        <w:rPr>
          <w:rFonts w:cstheme="minorHAnsi"/>
          <w:b/>
          <w:bCs/>
        </w:rPr>
        <w:t>» </w:t>
      </w:r>
      <w:r w:rsidRPr="001E1C9C">
        <w:rPr>
          <w:rFonts w:cstheme="minorHAnsi"/>
          <w:b/>
          <w:bCs/>
          <w:rtl/>
        </w:rPr>
        <w:t>بعد از آن بذر های موجود در مشت را در زمین زراعی پخش کن</w:t>
      </w:r>
      <w:r w:rsidRPr="001E1C9C">
        <w:rPr>
          <w:rFonts w:cstheme="minorHAnsi"/>
          <w:b/>
          <w:bCs/>
        </w:rPr>
        <w:t>.</w:t>
      </w:r>
      <w:r w:rsidRPr="001E1C9C">
        <w:rPr>
          <w:rFonts w:cstheme="minorHAnsi"/>
          <w:b/>
          <w:bCs/>
        </w:rPr>
        <w:br/>
      </w:r>
      <w:r w:rsidRPr="001E1C9C">
        <w:rPr>
          <w:rFonts w:cstheme="minorHAnsi"/>
          <w:b/>
          <w:bCs/>
          <w:rtl/>
        </w:rPr>
        <w:lastRenderedPageBreak/>
        <w:t>قراح به معنی آب خالص است و گاهی همچنان که در این روایت آمده برای زمینی که خالی از درخت و گیاه است، استفاده می شود</w:t>
      </w:r>
      <w:r w:rsidRPr="001E1C9C">
        <w:rPr>
          <w:rFonts w:cstheme="minorHAnsi"/>
          <w:b/>
          <w:bCs/>
        </w:rPr>
        <w:t>.</w:t>
      </w:r>
      <w:r w:rsidRPr="001E1C9C">
        <w:rPr>
          <w:rFonts w:cstheme="minorHAnsi"/>
          <w:b/>
          <w:bCs/>
        </w:rPr>
        <w:br/>
      </w:r>
      <w:r w:rsidRPr="001E1C9C">
        <w:rPr>
          <w:rFonts w:cstheme="minorHAnsi"/>
          <w:b/>
          <w:bCs/>
          <w:rtl/>
        </w:rPr>
        <w:t>در دیگر روایت آمده عَنْ أَبِي عَبْدِ اللَّهِ ع قَالَ: لَمَّا أُهْبِطَ آدَمُ إِلَى الْأَرْضِ إِلَى أَنْ قَالَ- فَقَالَ جَبْرَئِيلُ يَا آدَمُ كُنْ حَرَّاثاً- قَالَ فَعَلِّمْنِي دُعَاءً قَالَ قُلِ- اللَّهُمَّ اكْفِنِي مَئُونَةَ الدُّنْيَا وَ كُلَّ هَوْلٍ دُونَ الْجَنَّةِ- وَ أَلْبِسْنِي الْعَافِيَةَ حَتَّى تَهْنِئَنِي الْمَعِيشَةُ</w:t>
      </w:r>
      <w:r w:rsidRPr="001E1C9C">
        <w:rPr>
          <w:rFonts w:cstheme="minorHAnsi"/>
          <w:b/>
          <w:bCs/>
        </w:rPr>
        <w:t>. </w:t>
      </w:r>
      <w:bookmarkStart w:id="5" w:name="_ftnref6"/>
      <w:r w:rsidRPr="001E1C9C">
        <w:rPr>
          <w:rFonts w:cstheme="minorHAnsi"/>
          <w:b/>
          <w:bCs/>
        </w:rPr>
        <w:fldChar w:fldCharType="begin"/>
      </w:r>
      <w:r w:rsidRPr="001E1C9C">
        <w:rPr>
          <w:rFonts w:cstheme="minorHAnsi"/>
          <w:b/>
          <w:bCs/>
        </w:rPr>
        <w:instrText>HYPERLINK "https://eshia.ir/feqh/archive/text/jazayeri/feqh/93/931127/" \l "_ftn6" \o "</w:instrText>
      </w:r>
      <w:r w:rsidRPr="001E1C9C">
        <w:rPr>
          <w:rFonts w:cstheme="minorHAnsi"/>
          <w:b/>
          <w:bCs/>
          <w:rtl/>
        </w:rPr>
        <w:instrText>وسائل الشیعه، شیخ حر</w:instrText>
      </w:r>
      <w:r w:rsidRPr="001E1C9C">
        <w:rPr>
          <w:rFonts w:cstheme="minorHAnsi"/>
          <w:b/>
          <w:bCs/>
        </w:rPr>
        <w:instrText xml:space="preserve">
</w:instrText>
      </w:r>
      <w:r w:rsidRPr="001E1C9C">
        <w:rPr>
          <w:rFonts w:cstheme="minorHAnsi"/>
          <w:b/>
          <w:bCs/>
          <w:rtl/>
        </w:rPr>
        <w:instrText>عاملی، ج 19، ص 37، أبواب المزارعه و المساقات، باب 5، شماره 24097، ح 1،ط آل</w:instrText>
      </w:r>
      <w:r w:rsidRPr="001E1C9C">
        <w:rPr>
          <w:rFonts w:cstheme="minorHAnsi"/>
          <w:b/>
          <w:bCs/>
        </w:rPr>
        <w:instrText xml:space="preserve">
</w:instrText>
      </w:r>
      <w:r w:rsidRPr="001E1C9C">
        <w:rPr>
          <w:rFonts w:cstheme="minorHAnsi"/>
          <w:b/>
          <w:bCs/>
          <w:rtl/>
        </w:rPr>
        <w:instrText>البیت</w:instrText>
      </w:r>
      <w:r w:rsidRPr="001E1C9C">
        <w:rPr>
          <w:rFonts w:cstheme="minorHAnsi"/>
          <w:b/>
          <w:bCs/>
        </w:rPr>
        <w:instrText>."</w:instrText>
      </w:r>
      <w:r w:rsidRPr="001E1C9C">
        <w:rPr>
          <w:rFonts w:cstheme="minorHAnsi"/>
          <w:b/>
          <w:bCs/>
        </w:rPr>
      </w:r>
      <w:r w:rsidRPr="001E1C9C">
        <w:rPr>
          <w:rFonts w:cstheme="minorHAnsi"/>
          <w:b/>
          <w:bCs/>
        </w:rPr>
        <w:fldChar w:fldCharType="separate"/>
      </w:r>
      <w:r w:rsidRPr="001E1C9C">
        <w:rPr>
          <w:rStyle w:val="Hyperlink"/>
          <w:rFonts w:cstheme="minorHAnsi"/>
          <w:b/>
          <w:bCs/>
        </w:rPr>
        <w:t>[6]</w:t>
      </w:r>
      <w:r w:rsidRPr="001E1C9C">
        <w:rPr>
          <w:rFonts w:cstheme="minorHAnsi"/>
          <w:b/>
          <w:bCs/>
        </w:rPr>
        <w:fldChar w:fldCharType="end"/>
      </w:r>
      <w:bookmarkEnd w:id="5"/>
      <w:r w:rsidRPr="001E1C9C">
        <w:rPr>
          <w:rFonts w:cstheme="minorHAnsi"/>
          <w:b/>
          <w:bCs/>
          <w:rtl/>
        </w:rPr>
        <w:t>ی</w:t>
      </w:r>
      <w:r w:rsidRPr="001E1C9C">
        <w:rPr>
          <w:rFonts w:cstheme="minorHAnsi"/>
          <w:b/>
          <w:bCs/>
        </w:rPr>
        <w:br/>
      </w:r>
      <w:r w:rsidRPr="001E1C9C">
        <w:rPr>
          <w:rFonts w:cstheme="minorHAnsi"/>
          <w:b/>
          <w:bCs/>
          <w:rtl/>
        </w:rPr>
        <w:t>در دنیا احتیاجاتی وجود دارد که در دعایی که جبرئیل به آدم علیه السلام یاد داد، از خدا خواسته شده تا آنها را برطرف نماید؛ همچنین اهوالی در غیر بهشت مثلا در دنیا و در زمان موت و بعد از آن در محشر و قیامت وجود دارد که وقتی انسان به درب بهشت رسید پایان خواهند یافت و در فرح و سرور قرار خواهد گرفت، از خدا خواسته شده که انسان را از این اهوال کفایت کند و در ادامه خواسته که عافیتی دهد تا زندگی گوارا باشد</w:t>
      </w:r>
      <w:r w:rsidRPr="001E1C9C">
        <w:rPr>
          <w:rFonts w:cstheme="minorHAnsi"/>
          <w:b/>
          <w:bCs/>
        </w:rPr>
        <w:t>.</w:t>
      </w:r>
    </w:p>
    <w:p w14:paraId="00C82AA3" w14:textId="77777777" w:rsidR="001E1C9C" w:rsidRPr="001E1C9C" w:rsidRDefault="001E1C9C" w:rsidP="001E1C9C">
      <w:pPr>
        <w:jc w:val="right"/>
      </w:pPr>
    </w:p>
    <w:p w14:paraId="1A186504" w14:textId="77777777" w:rsidR="001E1C9C" w:rsidRPr="001E1C9C" w:rsidRDefault="001E1C9C" w:rsidP="001E1C9C">
      <w:pPr>
        <w:jc w:val="right"/>
      </w:pPr>
      <w:r w:rsidRPr="001E1C9C">
        <w:pict w14:anchorId="6E9D3099">
          <v:rect id="_x0000_i1031" style="width:0;height:1.5pt" o:hralign="center" o:hrstd="t" o:hr="t" fillcolor="#a0a0a0" stroked="f"/>
        </w:pict>
      </w:r>
    </w:p>
    <w:bookmarkStart w:id="6" w:name="_ftn1"/>
    <w:p w14:paraId="34E80DF7" w14:textId="77777777" w:rsidR="001E1C9C" w:rsidRPr="001E1C9C" w:rsidRDefault="001E1C9C" w:rsidP="001E1C9C">
      <w:pPr>
        <w:jc w:val="right"/>
      </w:pPr>
      <w:r w:rsidRPr="001E1C9C">
        <w:fldChar w:fldCharType="begin"/>
      </w:r>
      <w:r w:rsidRPr="001E1C9C">
        <w:instrText>HYPERLINK "https://eshia.ir/feqh/archive/text/jazayeri/feqh/93/931127/" \l "_ftnref1" \o ""</w:instrText>
      </w:r>
      <w:r w:rsidRPr="001E1C9C">
        <w:fldChar w:fldCharType="separate"/>
      </w:r>
      <w:r w:rsidRPr="001E1C9C">
        <w:rPr>
          <w:rStyle w:val="Hyperlink"/>
        </w:rPr>
        <w:t>[1]</w:t>
      </w:r>
      <w:r w:rsidRPr="001E1C9C">
        <w:fldChar w:fldCharType="end"/>
      </w:r>
      <w:bookmarkEnd w:id="6"/>
      <w:r w:rsidRPr="001E1C9C">
        <w:t> </w:t>
      </w:r>
      <w:hyperlink r:id="rId4" w:tgtFrame="_blank" w:history="1">
        <w:r w:rsidRPr="001E1C9C">
          <w:rPr>
            <w:rStyle w:val="Hyperlink"/>
            <w:rtl/>
          </w:rPr>
          <w:t>العروه الوثقی، السید محمد کاظم الطباطبایی الیزدی، ج5، ص340</w:t>
        </w:r>
        <w:r w:rsidRPr="001E1C9C">
          <w:rPr>
            <w:rStyle w:val="Hyperlink"/>
          </w:rPr>
          <w:t>.</w:t>
        </w:r>
      </w:hyperlink>
    </w:p>
    <w:bookmarkStart w:id="7" w:name="_ftn2"/>
    <w:p w14:paraId="456C94F5" w14:textId="77777777" w:rsidR="001E1C9C" w:rsidRPr="001E1C9C" w:rsidRDefault="001E1C9C" w:rsidP="001E1C9C">
      <w:pPr>
        <w:jc w:val="right"/>
      </w:pPr>
      <w:r w:rsidRPr="001E1C9C">
        <w:fldChar w:fldCharType="begin"/>
      </w:r>
      <w:r w:rsidRPr="001E1C9C">
        <w:instrText>HYPERLINK "https://eshia.ir/feqh/archive/text/jazayeri/feqh/93/931127/" \l "_ftnref2" \o ""</w:instrText>
      </w:r>
      <w:r w:rsidRPr="001E1C9C">
        <w:fldChar w:fldCharType="separate"/>
      </w:r>
      <w:r w:rsidRPr="001E1C9C">
        <w:rPr>
          <w:rStyle w:val="Hyperlink"/>
        </w:rPr>
        <w:t>[2]</w:t>
      </w:r>
      <w:r w:rsidRPr="001E1C9C">
        <w:fldChar w:fldCharType="end"/>
      </w:r>
      <w:bookmarkEnd w:id="7"/>
      <w:r w:rsidRPr="001E1C9C">
        <w:t> </w:t>
      </w:r>
      <w:r w:rsidRPr="001E1C9C">
        <w:rPr>
          <w:rtl/>
        </w:rPr>
        <w:t>موسوعه الامام الخویی، السید ابوالقاسم الخویی، ج31، ص312</w:t>
      </w:r>
      <w:r w:rsidRPr="001E1C9C">
        <w:t>.</w:t>
      </w:r>
    </w:p>
    <w:bookmarkStart w:id="8" w:name="_ftn3"/>
    <w:p w14:paraId="719B637D" w14:textId="77777777" w:rsidR="001E1C9C" w:rsidRPr="001E1C9C" w:rsidRDefault="001E1C9C" w:rsidP="001E1C9C">
      <w:pPr>
        <w:jc w:val="right"/>
      </w:pPr>
      <w:r w:rsidRPr="001E1C9C">
        <w:fldChar w:fldCharType="begin"/>
      </w:r>
      <w:r w:rsidRPr="001E1C9C">
        <w:instrText>HYPERLINK "https://eshia.ir/feqh/archive/text/jazayeri/feqh/93/931127/" \l "_ftnref3" \o ""</w:instrText>
      </w:r>
      <w:r w:rsidRPr="001E1C9C">
        <w:fldChar w:fldCharType="separate"/>
      </w:r>
      <w:r w:rsidRPr="001E1C9C">
        <w:rPr>
          <w:rStyle w:val="Hyperlink"/>
        </w:rPr>
        <w:t>[3]</w:t>
      </w:r>
      <w:r w:rsidRPr="001E1C9C">
        <w:fldChar w:fldCharType="end"/>
      </w:r>
      <w:bookmarkEnd w:id="8"/>
      <w:r w:rsidRPr="001E1C9C">
        <w:t> </w:t>
      </w:r>
      <w:hyperlink r:id="rId5" w:tgtFrame="_blank" w:history="1">
        <w:r w:rsidRPr="001E1C9C">
          <w:rPr>
            <w:rStyle w:val="Hyperlink"/>
            <w:rtl/>
          </w:rPr>
          <w:t>وسائل الشیعه، شیخ حر عاملی، ج 19، ص 37، أبواب المزارعه و المساقات، باب 5، شماره 24098، ح 2،ط آل البیت</w:t>
        </w:r>
        <w:r w:rsidRPr="001E1C9C">
          <w:rPr>
            <w:rStyle w:val="Hyperlink"/>
          </w:rPr>
          <w:t>.</w:t>
        </w:r>
      </w:hyperlink>
    </w:p>
    <w:bookmarkStart w:id="9" w:name="_ftn4"/>
    <w:p w14:paraId="7144AAE4" w14:textId="77777777" w:rsidR="001E1C9C" w:rsidRPr="001E1C9C" w:rsidRDefault="001E1C9C" w:rsidP="001E1C9C">
      <w:pPr>
        <w:jc w:val="right"/>
      </w:pPr>
      <w:r w:rsidRPr="001E1C9C">
        <w:fldChar w:fldCharType="begin"/>
      </w:r>
      <w:r w:rsidRPr="001E1C9C">
        <w:instrText>HYPERLINK "https://eshia.ir/feqh/archive/text/jazayeri/feqh/93/931127/" \l "_ftnref4" \o ""</w:instrText>
      </w:r>
      <w:r w:rsidRPr="001E1C9C">
        <w:fldChar w:fldCharType="separate"/>
      </w:r>
      <w:r w:rsidRPr="001E1C9C">
        <w:rPr>
          <w:rStyle w:val="Hyperlink"/>
        </w:rPr>
        <w:t>[4]</w:t>
      </w:r>
      <w:r w:rsidRPr="001E1C9C">
        <w:fldChar w:fldCharType="end"/>
      </w:r>
      <w:bookmarkEnd w:id="9"/>
      <w:r w:rsidRPr="001E1C9C">
        <w:t> </w:t>
      </w:r>
      <w:hyperlink r:id="rId6" w:tgtFrame="_blank" w:history="1">
        <w:r w:rsidRPr="001E1C9C">
          <w:rPr>
            <w:rStyle w:val="Hyperlink"/>
            <w:rtl/>
          </w:rPr>
          <w:t>وسائل الشیعه، شیخ حر عاملی، ج 19، ص 37، أبواب المزارعه و المساقات، باب 5، شماره 24099، ح 3،ط آل البیت</w:t>
        </w:r>
        <w:r w:rsidRPr="001E1C9C">
          <w:rPr>
            <w:rStyle w:val="Hyperlink"/>
          </w:rPr>
          <w:t>.</w:t>
        </w:r>
      </w:hyperlink>
    </w:p>
    <w:bookmarkStart w:id="10" w:name="_ftn5"/>
    <w:p w14:paraId="725CF006" w14:textId="77777777" w:rsidR="001E1C9C" w:rsidRPr="001E1C9C" w:rsidRDefault="001E1C9C" w:rsidP="001E1C9C">
      <w:pPr>
        <w:jc w:val="right"/>
      </w:pPr>
      <w:r w:rsidRPr="001E1C9C">
        <w:fldChar w:fldCharType="begin"/>
      </w:r>
      <w:r w:rsidRPr="001E1C9C">
        <w:instrText>HYPERLINK "https://eshia.ir/feqh/archive/text/jazayeri/feqh/93/931127/" \l "_ftnref5" \o ""</w:instrText>
      </w:r>
      <w:r w:rsidRPr="001E1C9C">
        <w:fldChar w:fldCharType="separate"/>
      </w:r>
      <w:r w:rsidRPr="001E1C9C">
        <w:rPr>
          <w:rStyle w:val="Hyperlink"/>
        </w:rPr>
        <w:t>[5]</w:t>
      </w:r>
      <w:r w:rsidRPr="001E1C9C">
        <w:fldChar w:fldCharType="end"/>
      </w:r>
      <w:bookmarkEnd w:id="10"/>
      <w:r w:rsidRPr="001E1C9C">
        <w:t> </w:t>
      </w:r>
      <w:hyperlink r:id="rId7" w:tgtFrame="_blank" w:tooltip="سوره شماره 56 ام واقعه صفحه 536" w:history="1">
        <w:r w:rsidRPr="001E1C9C">
          <w:rPr>
            <w:rStyle w:val="Hyperlink"/>
            <w:rtl/>
          </w:rPr>
          <w:t>واقعه/سوره56، آیه64</w:t>
        </w:r>
        <w:r w:rsidRPr="001E1C9C">
          <w:rPr>
            <w:rStyle w:val="Hyperlink"/>
          </w:rPr>
          <w:t>.</w:t>
        </w:r>
      </w:hyperlink>
    </w:p>
    <w:bookmarkStart w:id="11" w:name="_ftn6"/>
    <w:p w14:paraId="7271187A" w14:textId="77777777" w:rsidR="001E1C9C" w:rsidRPr="001E1C9C" w:rsidRDefault="001E1C9C" w:rsidP="001E1C9C">
      <w:pPr>
        <w:jc w:val="right"/>
      </w:pPr>
      <w:r w:rsidRPr="001E1C9C">
        <w:fldChar w:fldCharType="begin"/>
      </w:r>
      <w:r w:rsidRPr="001E1C9C">
        <w:instrText>HYPERLINK "https://eshia.ir/feqh/archive/text/jazayeri/feqh/93/931127/" \l "_ftnref6" \o ""</w:instrText>
      </w:r>
      <w:r w:rsidRPr="001E1C9C">
        <w:fldChar w:fldCharType="separate"/>
      </w:r>
      <w:r w:rsidRPr="001E1C9C">
        <w:rPr>
          <w:rStyle w:val="Hyperlink"/>
        </w:rPr>
        <w:t>[6]</w:t>
      </w:r>
      <w:r w:rsidRPr="001E1C9C">
        <w:fldChar w:fldCharType="end"/>
      </w:r>
      <w:bookmarkEnd w:id="11"/>
      <w:r w:rsidRPr="001E1C9C">
        <w:t> </w:t>
      </w:r>
      <w:hyperlink r:id="rId8" w:tgtFrame="_blank" w:history="1">
        <w:r w:rsidRPr="001E1C9C">
          <w:rPr>
            <w:rStyle w:val="Hyperlink"/>
            <w:rtl/>
          </w:rPr>
          <w:t>وسائل الشیعه، شیخ حر عاملی، ج 19، ص 37، أبواب المزارعه و المساقات، باب 5، شماره 24097، ح 1،ط آل البیت</w:t>
        </w:r>
        <w:r w:rsidRPr="001E1C9C">
          <w:rPr>
            <w:rStyle w:val="Hyperlink"/>
          </w:rPr>
          <w:t>.</w:t>
        </w:r>
      </w:hyperlink>
    </w:p>
    <w:p w14:paraId="3E2C1F69" w14:textId="77777777" w:rsidR="00E404DB" w:rsidRDefault="00E404DB" w:rsidP="001E1C9C">
      <w:pPr>
        <w:jc w:val="right"/>
      </w:pPr>
    </w:p>
    <w:sectPr w:rsidR="00E404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Variable UltraBold">
    <w:panose1 w:val="00000500000000000000"/>
    <w:charset w:val="00"/>
    <w:family w:val="auto"/>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3600"/>
    <w:rsid w:val="00005F60"/>
    <w:rsid w:val="001E1C9C"/>
    <w:rsid w:val="00963D73"/>
    <w:rsid w:val="00BD3600"/>
    <w:rsid w:val="00E404DB"/>
    <w:rsid w:val="00FD004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5C17C5"/>
  <w15:chartTrackingRefBased/>
  <w15:docId w15:val="{EF9C6773-E636-49A7-BF2C-0140AA97FB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D360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D360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D360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D360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D360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D360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D360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D360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D360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D360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D360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D360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D360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D360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D360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D360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D360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D3600"/>
    <w:rPr>
      <w:rFonts w:eastAsiaTheme="majorEastAsia" w:cstheme="majorBidi"/>
      <w:color w:val="272727" w:themeColor="text1" w:themeTint="D8"/>
    </w:rPr>
  </w:style>
  <w:style w:type="paragraph" w:styleId="Title">
    <w:name w:val="Title"/>
    <w:basedOn w:val="Normal"/>
    <w:next w:val="Normal"/>
    <w:link w:val="TitleChar"/>
    <w:uiPriority w:val="10"/>
    <w:qFormat/>
    <w:rsid w:val="00BD360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D360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D360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D360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D3600"/>
    <w:pPr>
      <w:spacing w:before="160"/>
      <w:jc w:val="center"/>
    </w:pPr>
    <w:rPr>
      <w:i/>
      <w:iCs/>
      <w:color w:val="404040" w:themeColor="text1" w:themeTint="BF"/>
    </w:rPr>
  </w:style>
  <w:style w:type="character" w:customStyle="1" w:styleId="QuoteChar">
    <w:name w:val="Quote Char"/>
    <w:basedOn w:val="DefaultParagraphFont"/>
    <w:link w:val="Quote"/>
    <w:uiPriority w:val="29"/>
    <w:rsid w:val="00BD3600"/>
    <w:rPr>
      <w:i/>
      <w:iCs/>
      <w:color w:val="404040" w:themeColor="text1" w:themeTint="BF"/>
    </w:rPr>
  </w:style>
  <w:style w:type="paragraph" w:styleId="ListParagraph">
    <w:name w:val="List Paragraph"/>
    <w:basedOn w:val="Normal"/>
    <w:uiPriority w:val="34"/>
    <w:qFormat/>
    <w:rsid w:val="00BD3600"/>
    <w:pPr>
      <w:ind w:left="720"/>
      <w:contextualSpacing/>
    </w:pPr>
  </w:style>
  <w:style w:type="character" w:styleId="IntenseEmphasis">
    <w:name w:val="Intense Emphasis"/>
    <w:basedOn w:val="DefaultParagraphFont"/>
    <w:uiPriority w:val="21"/>
    <w:qFormat/>
    <w:rsid w:val="00BD3600"/>
    <w:rPr>
      <w:i/>
      <w:iCs/>
      <w:color w:val="2F5496" w:themeColor="accent1" w:themeShade="BF"/>
    </w:rPr>
  </w:style>
  <w:style w:type="paragraph" w:styleId="IntenseQuote">
    <w:name w:val="Intense Quote"/>
    <w:basedOn w:val="Normal"/>
    <w:next w:val="Normal"/>
    <w:link w:val="IntenseQuoteChar"/>
    <w:uiPriority w:val="30"/>
    <w:qFormat/>
    <w:rsid w:val="00BD360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D3600"/>
    <w:rPr>
      <w:i/>
      <w:iCs/>
      <w:color w:val="2F5496" w:themeColor="accent1" w:themeShade="BF"/>
    </w:rPr>
  </w:style>
  <w:style w:type="character" w:styleId="IntenseReference">
    <w:name w:val="Intense Reference"/>
    <w:basedOn w:val="DefaultParagraphFont"/>
    <w:uiPriority w:val="32"/>
    <w:qFormat/>
    <w:rsid w:val="00BD3600"/>
    <w:rPr>
      <w:b/>
      <w:bCs/>
      <w:smallCaps/>
      <w:color w:val="2F5496" w:themeColor="accent1" w:themeShade="BF"/>
      <w:spacing w:val="5"/>
    </w:rPr>
  </w:style>
  <w:style w:type="character" w:styleId="Hyperlink">
    <w:name w:val="Hyperlink"/>
    <w:basedOn w:val="DefaultParagraphFont"/>
    <w:uiPriority w:val="99"/>
    <w:unhideWhenUsed/>
    <w:rsid w:val="001E1C9C"/>
    <w:rPr>
      <w:color w:val="0563C1" w:themeColor="hyperlink"/>
      <w:u w:val="single"/>
    </w:rPr>
  </w:style>
  <w:style w:type="character" w:styleId="UnresolvedMention">
    <w:name w:val="Unresolved Mention"/>
    <w:basedOn w:val="DefaultParagraphFont"/>
    <w:uiPriority w:val="99"/>
    <w:semiHidden/>
    <w:unhideWhenUsed/>
    <w:rsid w:val="001E1C9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lib.eshia.ir/11025/19/37/%D8%A7%DA%A9%D9%81%D9%86%DB%8C" TargetMode="External"/><Relationship Id="rId3" Type="http://schemas.openxmlformats.org/officeDocument/2006/relationships/webSettings" Target="webSettings.xml"/><Relationship Id="rId7" Type="http://schemas.openxmlformats.org/officeDocument/2006/relationships/hyperlink" Target="http://lib.eshia.ir/17001/1/536/64"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lib.eshia.ir/11025/19/37/%D8%A3%D8%B1%D8%AF%D8%AA" TargetMode="External"/><Relationship Id="rId5" Type="http://schemas.openxmlformats.org/officeDocument/2006/relationships/hyperlink" Target="http://lib.eshia.ir/11025/19/37/%D9%85%D8%AA%D8%B1%D8%A7%DA%A9%D9%85%D8%A7" TargetMode="External"/><Relationship Id="rId10" Type="http://schemas.openxmlformats.org/officeDocument/2006/relationships/theme" Target="theme/theme1.xml"/><Relationship Id="rId4" Type="http://schemas.openxmlformats.org/officeDocument/2006/relationships/hyperlink" Target="http://lib.eshia.ir/10027/5/340/%D8%AA%D9%82%D8%B5%DB%8C%D8%B1%D9%87"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998</Words>
  <Characters>5693</Characters>
  <Application>Microsoft Office Word</Application>
  <DocSecurity>0</DocSecurity>
  <Lines>47</Lines>
  <Paragraphs>13</Paragraphs>
  <ScaleCrop>false</ScaleCrop>
  <Company/>
  <LinksUpToDate>false</LinksUpToDate>
  <CharactersWithSpaces>6678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2025-11-26T21:06:00Z</dcterms:created>
  <dcterms:modified xsi:type="dcterms:W3CDTF">2025-11-26T21:08:00Z</dcterms:modified>
</cp:coreProperties>
</file>