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6CC20A" w14:textId="77777777" w:rsidR="00273E5B" w:rsidRPr="00273E5B" w:rsidRDefault="00273E5B" w:rsidP="00273E5B">
      <w:pPr>
        <w:jc w:val="center"/>
        <w:rPr>
          <w:rFonts w:ascii="AhangVariable UltraBold" w:hAnsi="AhangVariable UltraBold" w:cs="AhangVariable UltraBold"/>
          <w:b/>
          <w:bCs/>
          <w:u w:val="single"/>
        </w:rPr>
      </w:pPr>
      <w:r w:rsidRPr="00273E5B">
        <w:rPr>
          <w:rFonts w:ascii="AhangVariable UltraBold" w:hAnsi="AhangVariable UltraBold" w:cs="AhangVariable UltraBold"/>
          <w:b/>
          <w:bCs/>
          <w:u w:val="single"/>
          <w:rtl/>
        </w:rPr>
        <w:t>موضوع </w:t>
      </w:r>
      <w:r w:rsidRPr="00273E5B">
        <w:rPr>
          <w:rFonts w:ascii="AhangVariable UltraBold" w:hAnsi="AhangVariable UltraBold" w:cs="AhangVariable UltraBold"/>
          <w:b/>
          <w:bCs/>
          <w:u w:val="single"/>
        </w:rPr>
        <w:t>:</w:t>
      </w:r>
      <w:r w:rsidRPr="00273E5B">
        <w:rPr>
          <w:rFonts w:ascii="AhangVariable UltraBold" w:hAnsi="AhangVariable UltraBold" w:cs="AhangVariable UltraBold"/>
          <w:b/>
          <w:bCs/>
          <w:u w:val="single"/>
          <w:rtl/>
        </w:rPr>
        <w:t>بانکداری اسلامی/ مساقات / فروعات باب عقد مساقات</w:t>
      </w:r>
    </w:p>
    <w:p w14:paraId="6F5E8B48" w14:textId="49693D98" w:rsidR="00273E5B" w:rsidRPr="00273E5B" w:rsidRDefault="00273E5B" w:rsidP="00273E5B">
      <w:pPr>
        <w:jc w:val="right"/>
        <w:rPr>
          <w:rFonts w:cstheme="minorHAnsi"/>
          <w:b/>
          <w:bCs/>
        </w:rPr>
      </w:pPr>
      <w:r w:rsidRPr="00273E5B">
        <w:rPr>
          <w:rFonts w:cstheme="minorHAnsi"/>
          <w:b/>
          <w:bCs/>
        </w:rPr>
        <w:br/>
      </w:r>
      <w:r w:rsidRPr="00273E5B">
        <w:rPr>
          <w:rFonts w:cstheme="minorHAnsi"/>
          <w:b/>
          <w:bCs/>
          <w:rtl/>
        </w:rPr>
        <w:t>اشتراط دریافت چیزی علاوه بر حصه از محصول</w:t>
      </w:r>
      <w:r w:rsidRPr="00273E5B">
        <w:rPr>
          <w:rFonts w:cstheme="minorHAnsi"/>
          <w:b/>
          <w:bCs/>
        </w:rPr>
        <w:br/>
      </w:r>
      <w:r w:rsidRPr="00273E5B">
        <w:rPr>
          <w:rFonts w:cstheme="minorHAnsi"/>
          <w:b/>
          <w:bCs/>
          <w:rtl/>
        </w:rPr>
        <w:t>سید یزدی در کتاب عروه فرموده</w:t>
      </w:r>
      <w:r w:rsidRPr="00273E5B">
        <w:rPr>
          <w:rFonts w:cstheme="minorHAnsi"/>
          <w:b/>
          <w:bCs/>
        </w:rPr>
        <w:t>: «</w:t>
      </w:r>
      <w:r w:rsidRPr="00273E5B">
        <w:rPr>
          <w:rFonts w:cstheme="minorHAnsi"/>
          <w:b/>
          <w:bCs/>
          <w:rtl/>
        </w:rPr>
        <w:t>يجوز أن يشترط أحدهما على الآخر شيئا من ذهب أو فضة أو غيرهما مضافا إلى الحصة من الفائدة</w:t>
      </w:r>
      <w:r w:rsidRPr="00273E5B">
        <w:rPr>
          <w:rFonts w:cstheme="minorHAnsi"/>
          <w:b/>
          <w:bCs/>
        </w:rPr>
        <w:t>.»</w:t>
      </w:r>
      <w:bookmarkStart w:id="0" w:name="_ftnref1"/>
      <w:r w:rsidRPr="00273E5B">
        <w:rPr>
          <w:rFonts w:cstheme="minorHAnsi"/>
          <w:b/>
          <w:bCs/>
        </w:rPr>
        <w:fldChar w:fldCharType="begin"/>
      </w:r>
      <w:r w:rsidRPr="00273E5B">
        <w:rPr>
          <w:rFonts w:cstheme="minorHAnsi"/>
          <w:b/>
          <w:bCs/>
        </w:rPr>
        <w:instrText>HYPERLINK "https://eshia.ir/feqh/archive/text/jazayeri/feqh/93/931209/" \l "_ftn1" \o "</w:instrText>
      </w:r>
      <w:r w:rsidRPr="00273E5B">
        <w:rPr>
          <w:rFonts w:cstheme="minorHAnsi"/>
          <w:b/>
          <w:bCs/>
          <w:rtl/>
        </w:rPr>
        <w:instrText>العروه الوثقی، السید محمد کاظم</w:instrText>
      </w:r>
      <w:r w:rsidRPr="00273E5B">
        <w:rPr>
          <w:rFonts w:cstheme="minorHAnsi"/>
          <w:b/>
          <w:bCs/>
        </w:rPr>
        <w:instrText xml:space="preserve">
</w:instrText>
      </w:r>
      <w:r w:rsidRPr="00273E5B">
        <w:rPr>
          <w:rFonts w:cstheme="minorHAnsi"/>
          <w:b/>
          <w:bCs/>
          <w:rtl/>
        </w:rPr>
        <w:instrText>الطباطبایی الیزدی، ج5، ص362</w:instrText>
      </w:r>
      <w:r w:rsidRPr="00273E5B">
        <w:rPr>
          <w:rFonts w:cstheme="minorHAnsi"/>
          <w:b/>
          <w:bCs/>
        </w:rPr>
        <w:instrText>"</w:instrText>
      </w:r>
      <w:r w:rsidRPr="00273E5B">
        <w:rPr>
          <w:rFonts w:cstheme="minorHAnsi"/>
          <w:b/>
          <w:bCs/>
        </w:rPr>
      </w:r>
      <w:r w:rsidRPr="00273E5B">
        <w:rPr>
          <w:rFonts w:cstheme="minorHAnsi"/>
          <w:b/>
          <w:bCs/>
        </w:rPr>
        <w:fldChar w:fldCharType="separate"/>
      </w:r>
      <w:r w:rsidRPr="00273E5B">
        <w:rPr>
          <w:rStyle w:val="Hyperlink"/>
          <w:rFonts w:cstheme="minorHAnsi"/>
          <w:b/>
          <w:bCs/>
        </w:rPr>
        <w:t>[1]</w:t>
      </w:r>
      <w:r w:rsidRPr="00273E5B">
        <w:rPr>
          <w:rFonts w:cstheme="minorHAnsi"/>
          <w:b/>
          <w:bCs/>
        </w:rPr>
        <w:fldChar w:fldCharType="end"/>
      </w:r>
      <w:bookmarkEnd w:id="0"/>
      <w:r w:rsidRPr="00273E5B">
        <w:rPr>
          <w:rFonts w:cstheme="minorHAnsi"/>
          <w:b/>
          <w:bCs/>
          <w:rtl/>
        </w:rPr>
        <w:t>یعنی مساقات بر حصه به صورت کسری از حاصل باشد و علاوه بر آن شرط شود چیزی دیگر مثل طلا و نقره به یکی از متعاملین تعلق گیرد</w:t>
      </w:r>
      <w:r w:rsidRPr="00273E5B">
        <w:rPr>
          <w:rFonts w:cstheme="minorHAnsi"/>
          <w:b/>
          <w:bCs/>
        </w:rPr>
        <w:t>.</w:t>
      </w:r>
      <w:r w:rsidRPr="00273E5B">
        <w:rPr>
          <w:rFonts w:cstheme="minorHAnsi"/>
          <w:b/>
          <w:bCs/>
        </w:rPr>
        <w:br/>
      </w:r>
      <w:r w:rsidRPr="00273E5B">
        <w:rPr>
          <w:rFonts w:cstheme="minorHAnsi"/>
          <w:b/>
          <w:bCs/>
          <w:rtl/>
        </w:rPr>
        <w:t>بنا بر آنکه که چنین شرط شرطی صحیح است اشکالی در آن وجود ندارد و امری جایز است. شرط تنها در جایی که با مقتضای عقد و یا با کتاب و سنت مخالف باشد مردود است اما در فرض مساله چنین نمی باشد</w:t>
      </w:r>
      <w:r w:rsidRPr="00273E5B">
        <w:rPr>
          <w:rFonts w:cstheme="minorHAnsi"/>
          <w:b/>
          <w:bCs/>
        </w:rPr>
        <w:t>.</w:t>
      </w:r>
      <w:r w:rsidRPr="00273E5B">
        <w:rPr>
          <w:rFonts w:cstheme="minorHAnsi"/>
          <w:b/>
          <w:bCs/>
        </w:rPr>
        <w:br/>
      </w:r>
      <w:r w:rsidRPr="00273E5B">
        <w:rPr>
          <w:rFonts w:cstheme="minorHAnsi"/>
          <w:b/>
          <w:bCs/>
          <w:rtl/>
        </w:rPr>
        <w:t>ایشان در ادامه کلام خود می فرماید مشهور بین علما قول به کراهت این شرط است، لکن مستند آن مشخص نمی باشد؛ بنا بر این امر واضح است</w:t>
      </w:r>
      <w:r w:rsidRPr="00273E5B">
        <w:rPr>
          <w:rFonts w:cstheme="minorHAnsi"/>
          <w:b/>
          <w:bCs/>
        </w:rPr>
        <w:t>.</w:t>
      </w:r>
      <w:r w:rsidRPr="00273E5B">
        <w:rPr>
          <w:rFonts w:cstheme="minorHAnsi"/>
          <w:b/>
          <w:bCs/>
        </w:rPr>
        <w:br/>
      </w:r>
      <w:r w:rsidRPr="00273E5B">
        <w:rPr>
          <w:rFonts w:cstheme="minorHAnsi"/>
          <w:b/>
          <w:bCs/>
          <w:rtl/>
        </w:rPr>
        <w:t>عدم لزوم مباشرت عامل در مساقات</w:t>
      </w:r>
      <w:r w:rsidRPr="00273E5B">
        <w:rPr>
          <w:rFonts w:cstheme="minorHAnsi"/>
          <w:b/>
          <w:bCs/>
        </w:rPr>
        <w:br/>
      </w:r>
      <w:r w:rsidRPr="00273E5B">
        <w:rPr>
          <w:rFonts w:cstheme="minorHAnsi"/>
          <w:b/>
          <w:bCs/>
          <w:rtl/>
        </w:rPr>
        <w:t>صاحب عروه در مساله دیگر می فرماید</w:t>
      </w:r>
      <w:r w:rsidRPr="00273E5B">
        <w:rPr>
          <w:rFonts w:cstheme="minorHAnsi"/>
          <w:b/>
          <w:bCs/>
        </w:rPr>
        <w:t xml:space="preserve">:« </w:t>
      </w:r>
      <w:r w:rsidRPr="00273E5B">
        <w:rPr>
          <w:rFonts w:cstheme="minorHAnsi"/>
          <w:b/>
          <w:bCs/>
          <w:rtl/>
        </w:rPr>
        <w:t>لا يشترط أن يكون العامل في المساقاة مباشرا للعمل بنفسه</w:t>
      </w:r>
      <w:r w:rsidRPr="00273E5B">
        <w:rPr>
          <w:rFonts w:cstheme="minorHAnsi"/>
          <w:b/>
          <w:bCs/>
        </w:rPr>
        <w:t>»</w:t>
      </w:r>
      <w:bookmarkStart w:id="1" w:name="_ftnref2"/>
      <w:r w:rsidRPr="00273E5B">
        <w:rPr>
          <w:rFonts w:cstheme="minorHAnsi"/>
          <w:b/>
          <w:bCs/>
        </w:rPr>
        <w:fldChar w:fldCharType="begin"/>
      </w:r>
      <w:r w:rsidRPr="00273E5B">
        <w:rPr>
          <w:rFonts w:cstheme="minorHAnsi"/>
          <w:b/>
          <w:bCs/>
        </w:rPr>
        <w:instrText>HYPERLINK "https://eshia.ir/feqh/archive/text/jazayeri/feqh/93/931209/" \l "_ftn2" \o "</w:instrText>
      </w:r>
      <w:r w:rsidRPr="00273E5B">
        <w:rPr>
          <w:rFonts w:cstheme="minorHAnsi"/>
          <w:b/>
          <w:bCs/>
          <w:rtl/>
        </w:rPr>
        <w:instrText>العروه الوثقی، السید محمد</w:instrText>
      </w:r>
      <w:r w:rsidRPr="00273E5B">
        <w:rPr>
          <w:rFonts w:cstheme="minorHAnsi"/>
          <w:b/>
          <w:bCs/>
        </w:rPr>
        <w:instrText xml:space="preserve">
</w:instrText>
      </w:r>
      <w:r w:rsidRPr="00273E5B">
        <w:rPr>
          <w:rFonts w:cstheme="minorHAnsi"/>
          <w:b/>
          <w:bCs/>
          <w:rtl/>
        </w:rPr>
        <w:instrText>کاظم الطباطبایی الیزدی، ج5، ص359</w:instrText>
      </w:r>
      <w:r w:rsidRPr="00273E5B">
        <w:rPr>
          <w:rFonts w:cstheme="minorHAnsi"/>
          <w:b/>
          <w:bCs/>
        </w:rPr>
        <w:instrText>"</w:instrText>
      </w:r>
      <w:r w:rsidRPr="00273E5B">
        <w:rPr>
          <w:rFonts w:cstheme="minorHAnsi"/>
          <w:b/>
          <w:bCs/>
        </w:rPr>
      </w:r>
      <w:r w:rsidRPr="00273E5B">
        <w:rPr>
          <w:rFonts w:cstheme="minorHAnsi"/>
          <w:b/>
          <w:bCs/>
        </w:rPr>
        <w:fldChar w:fldCharType="separate"/>
      </w:r>
      <w:r w:rsidRPr="00273E5B">
        <w:rPr>
          <w:rStyle w:val="Hyperlink"/>
          <w:rFonts w:cstheme="minorHAnsi"/>
          <w:b/>
          <w:bCs/>
        </w:rPr>
        <w:t>[2]</w:t>
      </w:r>
      <w:r w:rsidRPr="00273E5B">
        <w:rPr>
          <w:rFonts w:cstheme="minorHAnsi"/>
          <w:b/>
          <w:bCs/>
        </w:rPr>
        <w:fldChar w:fldCharType="end"/>
      </w:r>
      <w:bookmarkEnd w:id="1"/>
      <w:r w:rsidRPr="00273E5B">
        <w:rPr>
          <w:rFonts w:cstheme="minorHAnsi"/>
          <w:b/>
          <w:bCs/>
          <w:rtl/>
        </w:rPr>
        <w:t>عامل در عقد مساقات می تواند، برای انجام عمل کمک بگیرد و یا اینکه از اساس عمل را به دیگران واگذار نماید</w:t>
      </w:r>
      <w:r w:rsidRPr="00273E5B">
        <w:rPr>
          <w:rFonts w:cstheme="minorHAnsi"/>
          <w:b/>
          <w:bCs/>
        </w:rPr>
        <w:t>.</w:t>
      </w:r>
      <w:r w:rsidRPr="00273E5B">
        <w:rPr>
          <w:rFonts w:cstheme="minorHAnsi"/>
          <w:b/>
          <w:bCs/>
        </w:rPr>
        <w:br/>
      </w:r>
      <w:r w:rsidRPr="00273E5B">
        <w:rPr>
          <w:rFonts w:cstheme="minorHAnsi"/>
          <w:b/>
          <w:bCs/>
          <w:rtl/>
        </w:rPr>
        <w:t>دلیل این حکم آن است که انجام عمل اعم از مباشرت و تسبیب است و انصرافی نیز بر مباشرت وجود ندارد، لذا اتیان عمل به دو صورت صادق خواهد بود. اما اگر مالک شرط نموده باشد تا عمل مباشرتا توسط عامل انجام شود، او نمی تواند دیگری را در انجام عمل شریک نماید</w:t>
      </w:r>
      <w:r w:rsidRPr="00273E5B">
        <w:rPr>
          <w:rFonts w:cstheme="minorHAnsi"/>
          <w:b/>
          <w:bCs/>
        </w:rPr>
        <w:t>.</w:t>
      </w:r>
      <w:r w:rsidRPr="00273E5B">
        <w:rPr>
          <w:rFonts w:cstheme="minorHAnsi"/>
          <w:b/>
          <w:bCs/>
        </w:rPr>
        <w:br/>
      </w:r>
      <w:r w:rsidRPr="00273E5B">
        <w:rPr>
          <w:rFonts w:cstheme="minorHAnsi"/>
          <w:b/>
          <w:bCs/>
          <w:rtl/>
        </w:rPr>
        <w:t>عدم لزوم علم عامل به تعداد درختان</w:t>
      </w:r>
      <w:r w:rsidRPr="00273E5B">
        <w:rPr>
          <w:rFonts w:cstheme="minorHAnsi"/>
          <w:b/>
          <w:bCs/>
        </w:rPr>
        <w:br/>
      </w:r>
      <w:r w:rsidRPr="00273E5B">
        <w:rPr>
          <w:rFonts w:cstheme="minorHAnsi"/>
          <w:b/>
          <w:bCs/>
          <w:rtl/>
        </w:rPr>
        <w:t>ایشان در جای دیگر می فرماید</w:t>
      </w:r>
      <w:r w:rsidRPr="00273E5B">
        <w:rPr>
          <w:rFonts w:cstheme="minorHAnsi"/>
          <w:b/>
          <w:bCs/>
        </w:rPr>
        <w:t>: «</w:t>
      </w:r>
      <w:r w:rsidRPr="00273E5B">
        <w:rPr>
          <w:rFonts w:cstheme="minorHAnsi"/>
          <w:b/>
          <w:bCs/>
          <w:rtl/>
        </w:rPr>
        <w:t>إذا اشتمل البستان على أنواع كالنخل والكرم والرمان ونحوها من أنواع الفواكه فالظاهر عدم اعتبار العلم بمقدار كل واحد، فيجوز المساقاة عليها بالنصف أو الثلث أو نحوهما وإن لم يعلم عدد كل نوع، إلا إذا كان الجهل بها موجبا للغرر</w:t>
      </w:r>
      <w:r w:rsidRPr="00273E5B">
        <w:rPr>
          <w:rFonts w:cstheme="minorHAnsi"/>
          <w:b/>
          <w:bCs/>
        </w:rPr>
        <w:t>»</w:t>
      </w:r>
      <w:bookmarkStart w:id="2" w:name="_ftnref3"/>
      <w:r w:rsidRPr="00273E5B">
        <w:rPr>
          <w:rFonts w:cstheme="minorHAnsi"/>
          <w:b/>
          <w:bCs/>
        </w:rPr>
        <w:fldChar w:fldCharType="begin"/>
      </w:r>
      <w:r w:rsidRPr="00273E5B">
        <w:rPr>
          <w:rFonts w:cstheme="minorHAnsi"/>
          <w:b/>
          <w:bCs/>
        </w:rPr>
        <w:instrText>HYPERLINK "https://eshia.ir/feqh/archive/text/jazayeri/feqh/93/931209/" \l "_ftn3" \o "</w:instrText>
      </w:r>
      <w:r w:rsidRPr="00273E5B">
        <w:rPr>
          <w:rFonts w:cstheme="minorHAnsi"/>
          <w:b/>
          <w:bCs/>
          <w:rtl/>
        </w:rPr>
        <w:instrText>العروه الوثقی، السید محمد کاظم</w:instrText>
      </w:r>
      <w:r w:rsidRPr="00273E5B">
        <w:rPr>
          <w:rFonts w:cstheme="minorHAnsi"/>
          <w:b/>
          <w:bCs/>
        </w:rPr>
        <w:instrText xml:space="preserve">
</w:instrText>
      </w:r>
      <w:r w:rsidRPr="00273E5B">
        <w:rPr>
          <w:rFonts w:cstheme="minorHAnsi"/>
          <w:b/>
          <w:bCs/>
          <w:rtl/>
        </w:rPr>
        <w:instrText>الطباطبایی الیزدی، ج5، ص361</w:instrText>
      </w:r>
      <w:r w:rsidRPr="00273E5B">
        <w:rPr>
          <w:rFonts w:cstheme="minorHAnsi"/>
          <w:b/>
          <w:bCs/>
        </w:rPr>
        <w:instrText>"</w:instrText>
      </w:r>
      <w:r w:rsidRPr="00273E5B">
        <w:rPr>
          <w:rFonts w:cstheme="minorHAnsi"/>
          <w:b/>
          <w:bCs/>
        </w:rPr>
      </w:r>
      <w:r w:rsidRPr="00273E5B">
        <w:rPr>
          <w:rFonts w:cstheme="minorHAnsi"/>
          <w:b/>
          <w:bCs/>
        </w:rPr>
        <w:fldChar w:fldCharType="separate"/>
      </w:r>
      <w:r w:rsidRPr="00273E5B">
        <w:rPr>
          <w:rStyle w:val="Hyperlink"/>
          <w:rFonts w:cstheme="minorHAnsi"/>
          <w:b/>
          <w:bCs/>
        </w:rPr>
        <w:t>[3]</w:t>
      </w:r>
      <w:r w:rsidRPr="00273E5B">
        <w:rPr>
          <w:rFonts w:cstheme="minorHAnsi"/>
          <w:b/>
          <w:bCs/>
        </w:rPr>
        <w:fldChar w:fldCharType="end"/>
      </w:r>
      <w:bookmarkEnd w:id="2"/>
      <w:r w:rsidRPr="00273E5B">
        <w:rPr>
          <w:rFonts w:cstheme="minorHAnsi"/>
          <w:b/>
          <w:bCs/>
          <w:rtl/>
        </w:rPr>
        <w:t>کَرم به معنای انگور است</w:t>
      </w:r>
      <w:r w:rsidRPr="00273E5B">
        <w:rPr>
          <w:rFonts w:cstheme="minorHAnsi"/>
          <w:b/>
          <w:bCs/>
        </w:rPr>
        <w:t>.</w:t>
      </w:r>
      <w:r w:rsidRPr="00273E5B">
        <w:rPr>
          <w:rFonts w:cstheme="minorHAnsi"/>
          <w:b/>
          <w:bCs/>
        </w:rPr>
        <w:br/>
      </w:r>
      <w:r w:rsidRPr="00273E5B">
        <w:rPr>
          <w:rFonts w:cstheme="minorHAnsi"/>
          <w:b/>
          <w:bCs/>
          <w:rtl/>
        </w:rPr>
        <w:t>لازم نیست عامل نسبت به تعداد درختان و عدد هر کدام از انواع درختانِ موجود در باغ آگاهی داشته باشد. یعنی لازم نیست بداند که چه تعداد نخل و یا درخت انار یا درختان زیتون و انگور در باغ وجود دارد و تنها دانستن نوع درختان کافی است تا بتوانند بر چنین باغی عقد مساقات منعقد نمایند. بنا بر این جهل به مقدار درختان موجب جهل نیست</w:t>
      </w:r>
      <w:r w:rsidRPr="00273E5B">
        <w:rPr>
          <w:rFonts w:cstheme="minorHAnsi"/>
          <w:b/>
          <w:bCs/>
        </w:rPr>
        <w:t>.</w:t>
      </w:r>
      <w:r w:rsidRPr="00273E5B">
        <w:rPr>
          <w:rFonts w:cstheme="minorHAnsi"/>
          <w:b/>
          <w:bCs/>
        </w:rPr>
        <w:br/>
      </w:r>
      <w:r w:rsidRPr="00273E5B">
        <w:rPr>
          <w:rFonts w:cstheme="minorHAnsi"/>
          <w:b/>
          <w:bCs/>
          <w:rtl/>
        </w:rPr>
        <w:t>دلیل این قول صحیحه یقوب بن شعیب است که سابقا آن را مطالعه نمودیم</w:t>
      </w:r>
      <w:r w:rsidRPr="00273E5B">
        <w:rPr>
          <w:rFonts w:cstheme="minorHAnsi"/>
          <w:b/>
          <w:bCs/>
        </w:rPr>
        <w:t>.«</w:t>
      </w:r>
      <w:r w:rsidRPr="00273E5B">
        <w:rPr>
          <w:rFonts w:cstheme="minorHAnsi"/>
          <w:b/>
          <w:bCs/>
          <w:rtl/>
        </w:rPr>
        <w:t>يَعْقُوبَ بْنِ شُعَيْبٍ عَنْ أَبِي عَبْدِ اللَّهِ ع فِي حَدِيثٍ قَالَ: سَأَلْتُهُ عَنْ رَجُلٍ يُعْطِي الرَّجُلَ أَرْضَهُ- وَ فِيهَا مَاءٌ أَوْ نَخْلٌ أَوْ فَاكِهَةٌ- وَ يَقُولُ اسْقِ هَذَا مِنَ الْمَاءِ وَ اعْمُرْهُ- وَ لَكَ نِصْفُ مَا أُخْرِجَ قَالَ لَا بَأْسَ</w:t>
      </w:r>
      <w:r w:rsidRPr="00273E5B">
        <w:rPr>
          <w:rFonts w:cstheme="minorHAnsi"/>
          <w:b/>
          <w:bCs/>
        </w:rPr>
        <w:t>»</w:t>
      </w:r>
      <w:bookmarkStart w:id="3" w:name="_ftnref4"/>
      <w:r w:rsidRPr="00273E5B">
        <w:rPr>
          <w:rFonts w:cstheme="minorHAnsi"/>
          <w:b/>
          <w:bCs/>
        </w:rPr>
        <w:fldChar w:fldCharType="begin"/>
      </w:r>
      <w:r w:rsidRPr="00273E5B">
        <w:rPr>
          <w:rFonts w:cstheme="minorHAnsi"/>
          <w:b/>
          <w:bCs/>
        </w:rPr>
        <w:instrText>HYPERLINK "https://eshia.ir/feqh/archive/text/jazayeri/feqh/93/931209/" \l "_ftn4" \o "</w:instrText>
      </w:r>
      <w:r w:rsidRPr="00273E5B">
        <w:rPr>
          <w:rFonts w:cstheme="minorHAnsi"/>
          <w:b/>
          <w:bCs/>
          <w:rtl/>
        </w:rPr>
        <w:instrText>وسائل الشیعه،</w:instrText>
      </w:r>
      <w:r w:rsidRPr="00273E5B">
        <w:rPr>
          <w:rFonts w:cstheme="minorHAnsi"/>
          <w:b/>
          <w:bCs/>
        </w:rPr>
        <w:instrText xml:space="preserve">
</w:instrText>
      </w:r>
      <w:r w:rsidRPr="00273E5B">
        <w:rPr>
          <w:rFonts w:cstheme="minorHAnsi"/>
          <w:b/>
          <w:bCs/>
          <w:rtl/>
        </w:rPr>
        <w:instrText>شیخ حر عاملی، ج 19، ص 44، کتاب المزارعه و المساقات، باب9، شماره</w:instrText>
      </w:r>
      <w:r w:rsidRPr="00273E5B">
        <w:rPr>
          <w:rFonts w:cstheme="minorHAnsi"/>
          <w:b/>
          <w:bCs/>
        </w:rPr>
        <w:instrText xml:space="preserve">
</w:instrText>
      </w:r>
      <w:r w:rsidRPr="00273E5B">
        <w:rPr>
          <w:rFonts w:cstheme="minorHAnsi"/>
          <w:b/>
          <w:bCs/>
          <w:rtl/>
        </w:rPr>
        <w:instrText>24119، ح2،ط آل البیت</w:instrText>
      </w:r>
      <w:r w:rsidRPr="00273E5B">
        <w:rPr>
          <w:rFonts w:cstheme="minorHAnsi"/>
          <w:b/>
          <w:bCs/>
        </w:rPr>
        <w:instrText>."</w:instrText>
      </w:r>
      <w:r w:rsidRPr="00273E5B">
        <w:rPr>
          <w:rFonts w:cstheme="minorHAnsi"/>
          <w:b/>
          <w:bCs/>
        </w:rPr>
      </w:r>
      <w:r w:rsidRPr="00273E5B">
        <w:rPr>
          <w:rFonts w:cstheme="minorHAnsi"/>
          <w:b/>
          <w:bCs/>
        </w:rPr>
        <w:fldChar w:fldCharType="separate"/>
      </w:r>
      <w:r w:rsidRPr="00273E5B">
        <w:rPr>
          <w:rStyle w:val="Hyperlink"/>
          <w:rFonts w:cstheme="minorHAnsi"/>
          <w:b/>
          <w:bCs/>
        </w:rPr>
        <w:t>[4]</w:t>
      </w:r>
      <w:r w:rsidRPr="00273E5B">
        <w:rPr>
          <w:rFonts w:cstheme="minorHAnsi"/>
          <w:b/>
          <w:bCs/>
        </w:rPr>
        <w:fldChar w:fldCharType="end"/>
      </w:r>
      <w:bookmarkEnd w:id="3"/>
      <w:r w:rsidRPr="00273E5B">
        <w:rPr>
          <w:rFonts w:cstheme="minorHAnsi"/>
          <w:b/>
          <w:bCs/>
        </w:rPr>
        <w:t> </w:t>
      </w:r>
      <w:r w:rsidRPr="00273E5B">
        <w:rPr>
          <w:rFonts w:cstheme="minorHAnsi"/>
          <w:b/>
          <w:bCs/>
          <w:rtl/>
        </w:rPr>
        <w:t>در این روایت انواع مختلفی از درختان میوه ذکر شده لکن و امام علیه السلام در همین صورت فرموده معامله صحیح است</w:t>
      </w:r>
      <w:r w:rsidRPr="00273E5B">
        <w:rPr>
          <w:rFonts w:cstheme="minorHAnsi"/>
          <w:b/>
          <w:bCs/>
        </w:rPr>
        <w:t>.</w:t>
      </w:r>
      <w:r w:rsidRPr="00273E5B">
        <w:rPr>
          <w:rFonts w:cstheme="minorHAnsi"/>
          <w:b/>
          <w:bCs/>
        </w:rPr>
        <w:br/>
      </w:r>
      <w:r w:rsidRPr="00273E5B">
        <w:rPr>
          <w:rFonts w:cstheme="minorHAnsi"/>
          <w:b/>
          <w:bCs/>
          <w:rtl/>
        </w:rPr>
        <w:t>اشکال و پاسخ در قاعده نفی غرر</w:t>
      </w:r>
      <w:r w:rsidRPr="00273E5B">
        <w:rPr>
          <w:rFonts w:cstheme="minorHAnsi"/>
          <w:b/>
          <w:bCs/>
        </w:rPr>
        <w:br/>
      </w:r>
      <w:r w:rsidRPr="00273E5B">
        <w:rPr>
          <w:rFonts w:cstheme="minorHAnsi"/>
          <w:b/>
          <w:bCs/>
          <w:rtl/>
        </w:rPr>
        <w:t>سیدنا الاستاد در شرح فرموده: از جهتی اساساً قاعده نفی غرر بدلیل ضعف سند برای ما ثابت نشده. علاوه بر این در صورت پذیرفتن قاعده نیز، می فرمایند این قاعده اختصاص به بیع خواهد داشت؛ چرا که این روایت در مورد بیع غرری وارد شده. ایشان همچنین می فرماید: عقد مساقات همچون مزارعه از جهت جهل به مقدار حاصل مبنی بر غرر است. لذا با توجه به این نکات، استثناء صورت غرر که در کلام سید یزدی آمده، لازم نیست</w:t>
      </w:r>
      <w:r w:rsidRPr="00273E5B">
        <w:rPr>
          <w:rFonts w:cstheme="minorHAnsi"/>
          <w:b/>
          <w:bCs/>
        </w:rPr>
        <w:t>.</w:t>
      </w:r>
      <w:r w:rsidRPr="00273E5B">
        <w:rPr>
          <w:rFonts w:cstheme="minorHAnsi"/>
          <w:b/>
          <w:bCs/>
        </w:rPr>
        <w:br/>
      </w:r>
      <w:r w:rsidRPr="00273E5B">
        <w:rPr>
          <w:rFonts w:cstheme="minorHAnsi"/>
          <w:b/>
          <w:bCs/>
          <w:rtl/>
        </w:rPr>
        <w:t>آنچه که محقق خویی فرمود از جهت مقدار حاصل صحیح است لکن ایشان متعرض جهالت در مقدار عمل نشده اند و باید توجه داشت که درختان مختلف از جهت نیاز به مقدار آب متفاوت هستند و بعضی نیاز زیادی به آب دارند و بعضی نیاز کم و احتمالا کلام سید یزدی ناظر به این جهات بوده وا ستثناء ایشان مربوط به غرر موجود در مقدار عمل می باشد</w:t>
      </w:r>
      <w:r w:rsidRPr="00273E5B">
        <w:rPr>
          <w:rFonts w:cstheme="minorHAnsi"/>
          <w:b/>
          <w:bCs/>
        </w:rPr>
        <w:t>.</w:t>
      </w:r>
      <w:r w:rsidRPr="00273E5B">
        <w:rPr>
          <w:rFonts w:cstheme="minorHAnsi"/>
          <w:b/>
          <w:bCs/>
        </w:rPr>
        <w:br/>
      </w:r>
      <w:r w:rsidRPr="00273E5B">
        <w:rPr>
          <w:rFonts w:cstheme="minorHAnsi"/>
          <w:b/>
          <w:bCs/>
          <w:rtl/>
        </w:rPr>
        <w:t xml:space="preserve">همچنین در پاسخ به آنچه که محقق خویی نسبت به ضعف سند ذکر کردند می گوییم: ضعف سند روایت به عمل </w:t>
      </w:r>
      <w:r w:rsidRPr="00273E5B">
        <w:rPr>
          <w:rFonts w:cstheme="minorHAnsi"/>
          <w:b/>
          <w:bCs/>
          <w:rtl/>
        </w:rPr>
        <w:lastRenderedPageBreak/>
        <w:t>اصحاب قدیماً و حدیثاً منجبر می باشد و همچین تعدی نیز بنا بر عمل اصحاب است و اینکه ذکر آن را از باب مثال دانسته اند، لذا نهی از غرر اختصاصی به بیع ندارد و در جمیع موارد منهی است</w:t>
      </w:r>
      <w:r w:rsidRPr="00273E5B">
        <w:rPr>
          <w:rFonts w:cstheme="minorHAnsi"/>
          <w:b/>
          <w:bCs/>
        </w:rPr>
        <w:t>.</w:t>
      </w:r>
      <w:r w:rsidRPr="00273E5B">
        <w:rPr>
          <w:rFonts w:cstheme="minorHAnsi"/>
          <w:b/>
          <w:bCs/>
        </w:rPr>
        <w:br/>
      </w:r>
      <w:r w:rsidRPr="00273E5B">
        <w:rPr>
          <w:rFonts w:cstheme="minorHAnsi"/>
          <w:b/>
          <w:bCs/>
          <w:rtl/>
        </w:rPr>
        <w:t>لذا به نظر ما نیز استثناء موارد غرر در کلام سید یزدی صحیح با توجه به جهالت موجود در مقدار عمل کلامی صحیح است</w:t>
      </w:r>
      <w:r w:rsidRPr="00273E5B">
        <w:rPr>
          <w:rFonts w:cstheme="minorHAnsi"/>
          <w:b/>
          <w:bCs/>
        </w:rPr>
        <w:t>.</w:t>
      </w:r>
      <w:r w:rsidRPr="00273E5B">
        <w:rPr>
          <w:rFonts w:cstheme="minorHAnsi"/>
          <w:b/>
          <w:bCs/>
        </w:rPr>
        <w:br/>
      </w:r>
      <w:r w:rsidRPr="00273E5B">
        <w:rPr>
          <w:rFonts w:cstheme="minorHAnsi"/>
          <w:b/>
          <w:bCs/>
          <w:rtl/>
        </w:rPr>
        <w:t>عقود مساقات متعدد درضمن یک عقد</w:t>
      </w:r>
      <w:r w:rsidRPr="00273E5B">
        <w:rPr>
          <w:rFonts w:cstheme="minorHAnsi"/>
          <w:b/>
          <w:bCs/>
        </w:rPr>
        <w:br/>
      </w:r>
      <w:r w:rsidRPr="00273E5B">
        <w:rPr>
          <w:rFonts w:cstheme="minorHAnsi"/>
          <w:b/>
          <w:bCs/>
          <w:rtl/>
        </w:rPr>
        <w:t>در مساله ای دیگر سید صاحب عروه می فرماید</w:t>
      </w:r>
      <w:r w:rsidRPr="00273E5B">
        <w:rPr>
          <w:rFonts w:cstheme="minorHAnsi"/>
          <w:b/>
          <w:bCs/>
        </w:rPr>
        <w:t xml:space="preserve">: « </w:t>
      </w:r>
      <w:r w:rsidRPr="00273E5B">
        <w:rPr>
          <w:rFonts w:cstheme="minorHAnsi"/>
          <w:b/>
          <w:bCs/>
          <w:rtl/>
        </w:rPr>
        <w:t>يجوز أن يفرد كل نوع بحصة مخالفة للحصة من النوع الآخر، كأن يجعل النخل بالنصف، والكرم بالثلث، والرمان بالربع - مثلا - وهكذا</w:t>
      </w:r>
      <w:r w:rsidRPr="00273E5B">
        <w:rPr>
          <w:rFonts w:cstheme="minorHAnsi"/>
          <w:b/>
          <w:bCs/>
        </w:rPr>
        <w:t>...»</w:t>
      </w:r>
      <w:bookmarkStart w:id="4" w:name="_ftnref5"/>
      <w:r w:rsidRPr="00273E5B">
        <w:rPr>
          <w:rFonts w:cstheme="minorHAnsi"/>
          <w:b/>
          <w:bCs/>
        </w:rPr>
        <w:fldChar w:fldCharType="begin"/>
      </w:r>
      <w:r w:rsidRPr="00273E5B">
        <w:rPr>
          <w:rFonts w:cstheme="minorHAnsi"/>
          <w:b/>
          <w:bCs/>
        </w:rPr>
        <w:instrText>HYPERLINK "https://eshia.ir/feqh/archive/text/jazayeri/feqh/93/931209/" \l "_ftn5" \o "</w:instrText>
      </w:r>
      <w:r w:rsidRPr="00273E5B">
        <w:rPr>
          <w:rFonts w:cstheme="minorHAnsi"/>
          <w:b/>
          <w:bCs/>
          <w:rtl/>
        </w:rPr>
        <w:instrText>العروه الوثقی، السید محمد کاظم</w:instrText>
      </w:r>
      <w:r w:rsidRPr="00273E5B">
        <w:rPr>
          <w:rFonts w:cstheme="minorHAnsi"/>
          <w:b/>
          <w:bCs/>
        </w:rPr>
        <w:instrText xml:space="preserve">
</w:instrText>
      </w:r>
      <w:r w:rsidRPr="00273E5B">
        <w:rPr>
          <w:rFonts w:cstheme="minorHAnsi"/>
          <w:b/>
          <w:bCs/>
          <w:rtl/>
        </w:rPr>
        <w:instrText>الطباطبایی الیزدی، ج5، ص361</w:instrText>
      </w:r>
      <w:r w:rsidRPr="00273E5B">
        <w:rPr>
          <w:rFonts w:cstheme="minorHAnsi"/>
          <w:b/>
          <w:bCs/>
        </w:rPr>
        <w:instrText>."</w:instrText>
      </w:r>
      <w:r w:rsidRPr="00273E5B">
        <w:rPr>
          <w:rFonts w:cstheme="minorHAnsi"/>
          <w:b/>
          <w:bCs/>
        </w:rPr>
      </w:r>
      <w:r w:rsidRPr="00273E5B">
        <w:rPr>
          <w:rFonts w:cstheme="minorHAnsi"/>
          <w:b/>
          <w:bCs/>
        </w:rPr>
        <w:fldChar w:fldCharType="separate"/>
      </w:r>
      <w:r w:rsidRPr="00273E5B">
        <w:rPr>
          <w:rStyle w:val="Hyperlink"/>
          <w:rFonts w:cstheme="minorHAnsi"/>
          <w:b/>
          <w:bCs/>
        </w:rPr>
        <w:t>[5]</w:t>
      </w:r>
      <w:r w:rsidRPr="00273E5B">
        <w:rPr>
          <w:rFonts w:cstheme="minorHAnsi"/>
          <w:b/>
          <w:bCs/>
        </w:rPr>
        <w:fldChar w:fldCharType="end"/>
      </w:r>
      <w:bookmarkEnd w:id="4"/>
      <w:r w:rsidRPr="00273E5B">
        <w:rPr>
          <w:rFonts w:cstheme="minorHAnsi"/>
          <w:b/>
          <w:bCs/>
          <w:rtl/>
        </w:rPr>
        <w:t>مالک می تواند در عقد مساقات در قبال آبیاری و سایر خدمات از محصول خرما نیمی و از انگور یک سوم و از انار یک چهارم محصول به عامل بدهد. زیرا این عقد هرچند ظاهرا عقدی واحد است لکن در حقیقت منحل به عقود متعدد می شود. کأن عامل برای مساقات نخل، نیمی از خرما و در قبال مساقات درختان انگور یک سوم محصول و عوض مساقات درختان انار یک چهارم محصول را در عقود جداگانه دریافت خواهد کرد. این مساله همچون معامله بیع اشیاء مختلف با قیمت های متفاوت در یک عقد است که به اتفاق علما جایز است</w:t>
      </w:r>
      <w:r w:rsidRPr="00273E5B">
        <w:rPr>
          <w:rFonts w:cstheme="minorHAnsi"/>
          <w:b/>
          <w:bCs/>
        </w:rPr>
        <w:t>.</w:t>
      </w:r>
      <w:r w:rsidRPr="00273E5B">
        <w:rPr>
          <w:rFonts w:cstheme="minorHAnsi"/>
          <w:b/>
          <w:bCs/>
        </w:rPr>
        <w:br/>
      </w:r>
      <w:r w:rsidRPr="00273E5B">
        <w:rPr>
          <w:rFonts w:cstheme="minorHAnsi"/>
          <w:b/>
          <w:bCs/>
        </w:rPr>
        <w:br/>
      </w:r>
      <w:r w:rsidRPr="00273E5B">
        <w:rPr>
          <w:rFonts w:cstheme="minorHAnsi"/>
          <w:b/>
          <w:bCs/>
          <w:rtl/>
        </w:rPr>
        <w:t>حکم صورت ظهور بطلان عقد مساقات</w:t>
      </w:r>
      <w:r w:rsidRPr="00273E5B">
        <w:rPr>
          <w:rFonts w:cstheme="minorHAnsi"/>
          <w:b/>
          <w:bCs/>
        </w:rPr>
        <w:br/>
      </w:r>
      <w:r w:rsidRPr="00273E5B">
        <w:rPr>
          <w:rFonts w:cstheme="minorHAnsi"/>
          <w:b/>
          <w:bCs/>
          <w:rtl/>
        </w:rPr>
        <w:t>سید یزدی فرموده</w:t>
      </w:r>
      <w:r w:rsidRPr="00273E5B">
        <w:rPr>
          <w:rFonts w:cstheme="minorHAnsi"/>
          <w:b/>
          <w:bCs/>
        </w:rPr>
        <w:t>: «</w:t>
      </w:r>
      <w:r w:rsidRPr="00273E5B">
        <w:rPr>
          <w:rFonts w:cstheme="minorHAnsi"/>
          <w:b/>
          <w:bCs/>
          <w:rtl/>
        </w:rPr>
        <w:t>كل موضع بطل فيه عقد المساقاة يكون الثمر للمالك، وللعامل اجرة المثل لعمله إلا إذا كان عالما بالبطلان و مع ذلك أقدم</w:t>
      </w:r>
      <w:r w:rsidRPr="00273E5B">
        <w:rPr>
          <w:rFonts w:cstheme="minorHAnsi"/>
          <w:b/>
          <w:bCs/>
        </w:rPr>
        <w:t>»</w:t>
      </w:r>
      <w:bookmarkStart w:id="5" w:name="_ftnref6"/>
      <w:r w:rsidRPr="00273E5B">
        <w:rPr>
          <w:rFonts w:cstheme="minorHAnsi"/>
          <w:b/>
          <w:bCs/>
        </w:rPr>
        <w:fldChar w:fldCharType="begin"/>
      </w:r>
      <w:r w:rsidRPr="00273E5B">
        <w:rPr>
          <w:rFonts w:cstheme="minorHAnsi"/>
          <w:b/>
          <w:bCs/>
        </w:rPr>
        <w:instrText>HYPERLINK "https://eshia.ir/feqh/archive/text/jazayeri/feqh/93/931209/" \l "_ftn6" \o "</w:instrText>
      </w:r>
      <w:r w:rsidRPr="00273E5B">
        <w:rPr>
          <w:rFonts w:cstheme="minorHAnsi"/>
          <w:b/>
          <w:bCs/>
          <w:rtl/>
        </w:rPr>
        <w:instrText>العروه الوثقی، السید محمد کاظم</w:instrText>
      </w:r>
      <w:r w:rsidRPr="00273E5B">
        <w:rPr>
          <w:rFonts w:cstheme="minorHAnsi"/>
          <w:b/>
          <w:bCs/>
        </w:rPr>
        <w:instrText xml:space="preserve">
</w:instrText>
      </w:r>
      <w:r w:rsidRPr="00273E5B">
        <w:rPr>
          <w:rFonts w:cstheme="minorHAnsi"/>
          <w:b/>
          <w:bCs/>
          <w:rtl/>
        </w:rPr>
        <w:instrText>الطباطبایی الیزدی، ج5، ص370</w:instrText>
      </w:r>
      <w:r w:rsidRPr="00273E5B">
        <w:rPr>
          <w:rFonts w:cstheme="minorHAnsi"/>
          <w:b/>
          <w:bCs/>
        </w:rPr>
        <w:instrText>"</w:instrText>
      </w:r>
      <w:r w:rsidRPr="00273E5B">
        <w:rPr>
          <w:rFonts w:cstheme="minorHAnsi"/>
          <w:b/>
          <w:bCs/>
        </w:rPr>
      </w:r>
      <w:r w:rsidRPr="00273E5B">
        <w:rPr>
          <w:rFonts w:cstheme="minorHAnsi"/>
          <w:b/>
          <w:bCs/>
        </w:rPr>
        <w:fldChar w:fldCharType="separate"/>
      </w:r>
      <w:r w:rsidRPr="00273E5B">
        <w:rPr>
          <w:rStyle w:val="Hyperlink"/>
          <w:rFonts w:cstheme="minorHAnsi"/>
          <w:b/>
          <w:bCs/>
        </w:rPr>
        <w:t>[6]</w:t>
      </w:r>
      <w:r w:rsidRPr="00273E5B">
        <w:rPr>
          <w:rFonts w:cstheme="minorHAnsi"/>
          <w:b/>
          <w:bCs/>
        </w:rPr>
        <w:fldChar w:fldCharType="end"/>
      </w:r>
      <w:bookmarkEnd w:id="5"/>
      <w:r w:rsidRPr="00273E5B">
        <w:rPr>
          <w:rFonts w:cstheme="minorHAnsi"/>
          <w:b/>
          <w:bCs/>
          <w:rtl/>
        </w:rPr>
        <w:t>درجایی که عقد مساقاتی بین مالک و عامل صورت گیرد و بعد از آن مشخص شود که این عقد باطل بوده، مالک صاحب تمام محصول خواهد بود و عامل مستحق دریافت اجرت المثل می باشد. چرا که قرارداد فی ما بین باطل بوده و بنا بر قاعده تبعیت و تبعیت میوه از درخت تمام محصول به مالک متعلق خواهد بود، اما با توجه به احترام عمل عامل و قاعده مایضمن و همچنین عدم اقدام به عمل مجانی توسط عامل و عدم اسقاط احترام عمل توسط او، وی می تواند اجرت المثل را از مالک طلب نماید</w:t>
      </w:r>
      <w:r w:rsidRPr="00273E5B">
        <w:rPr>
          <w:rFonts w:cstheme="minorHAnsi"/>
          <w:b/>
          <w:bCs/>
        </w:rPr>
        <w:t>..</w:t>
      </w:r>
    </w:p>
    <w:p w14:paraId="19122CBD" w14:textId="77777777" w:rsidR="00273E5B" w:rsidRPr="00273E5B" w:rsidRDefault="00273E5B" w:rsidP="00273E5B">
      <w:pPr>
        <w:jc w:val="right"/>
      </w:pPr>
    </w:p>
    <w:p w14:paraId="694B1192" w14:textId="77777777" w:rsidR="00273E5B" w:rsidRPr="00273E5B" w:rsidRDefault="00273E5B" w:rsidP="00273E5B">
      <w:pPr>
        <w:jc w:val="right"/>
      </w:pPr>
      <w:r w:rsidRPr="00273E5B">
        <w:pict w14:anchorId="23D64D41">
          <v:rect id="_x0000_i1031" style="width:0;height:1.5pt" o:hralign="center" o:hrstd="t" o:hr="t" fillcolor="#a0a0a0" stroked="f"/>
        </w:pict>
      </w:r>
    </w:p>
    <w:bookmarkStart w:id="6" w:name="_ftn1"/>
    <w:p w14:paraId="7FEDEFBE" w14:textId="77777777" w:rsidR="00273E5B" w:rsidRPr="00273E5B" w:rsidRDefault="00273E5B" w:rsidP="00273E5B">
      <w:pPr>
        <w:jc w:val="right"/>
      </w:pPr>
      <w:r w:rsidRPr="00273E5B">
        <w:fldChar w:fldCharType="begin"/>
      </w:r>
      <w:r w:rsidRPr="00273E5B">
        <w:instrText>HYPERLINK "https://eshia.ir/feqh/archive/text/jazayeri/feqh/93/931209/" \l "_ftnref1" \o ""</w:instrText>
      </w:r>
      <w:r w:rsidRPr="00273E5B">
        <w:fldChar w:fldCharType="separate"/>
      </w:r>
      <w:r w:rsidRPr="00273E5B">
        <w:rPr>
          <w:rStyle w:val="Hyperlink"/>
        </w:rPr>
        <w:t>[1]</w:t>
      </w:r>
      <w:r w:rsidRPr="00273E5B">
        <w:fldChar w:fldCharType="end"/>
      </w:r>
      <w:bookmarkEnd w:id="6"/>
      <w:r w:rsidRPr="00273E5B">
        <w:t> </w:t>
      </w:r>
      <w:hyperlink r:id="rId4" w:tgtFrame="_blank" w:history="1">
        <w:r w:rsidRPr="00273E5B">
          <w:rPr>
            <w:rStyle w:val="Hyperlink"/>
            <w:rtl/>
          </w:rPr>
          <w:t>العروه الوثقی، السید محمد کاظم الطباطبایی الیزدی، ج5، ص362</w:t>
        </w:r>
        <w:r w:rsidRPr="00273E5B">
          <w:rPr>
            <w:rStyle w:val="Hyperlink"/>
          </w:rPr>
          <w:t>.</w:t>
        </w:r>
      </w:hyperlink>
    </w:p>
    <w:bookmarkStart w:id="7" w:name="_ftn2"/>
    <w:p w14:paraId="661346D4" w14:textId="77777777" w:rsidR="00273E5B" w:rsidRPr="00273E5B" w:rsidRDefault="00273E5B" w:rsidP="00273E5B">
      <w:pPr>
        <w:jc w:val="right"/>
      </w:pPr>
      <w:r w:rsidRPr="00273E5B">
        <w:fldChar w:fldCharType="begin"/>
      </w:r>
      <w:r w:rsidRPr="00273E5B">
        <w:instrText>HYPERLINK "https://eshia.ir/feqh/archive/text/jazayeri/feqh/93/931209/" \l "_ftnref2" \o ""</w:instrText>
      </w:r>
      <w:r w:rsidRPr="00273E5B">
        <w:fldChar w:fldCharType="separate"/>
      </w:r>
      <w:r w:rsidRPr="00273E5B">
        <w:rPr>
          <w:rStyle w:val="Hyperlink"/>
        </w:rPr>
        <w:t>[2]</w:t>
      </w:r>
      <w:r w:rsidRPr="00273E5B">
        <w:fldChar w:fldCharType="end"/>
      </w:r>
      <w:bookmarkEnd w:id="7"/>
      <w:r w:rsidRPr="00273E5B">
        <w:t> </w:t>
      </w:r>
      <w:hyperlink r:id="rId5" w:tgtFrame="_blank" w:history="1">
        <w:r w:rsidRPr="00273E5B">
          <w:rPr>
            <w:rStyle w:val="Hyperlink"/>
            <w:rtl/>
          </w:rPr>
          <w:t>العروه الوثقی، السید محمد کاظم الطباطبایی الیزدی، ج5، ص359</w:t>
        </w:r>
        <w:r w:rsidRPr="00273E5B">
          <w:rPr>
            <w:rStyle w:val="Hyperlink"/>
          </w:rPr>
          <w:t>.</w:t>
        </w:r>
      </w:hyperlink>
    </w:p>
    <w:bookmarkStart w:id="8" w:name="_ftn3"/>
    <w:p w14:paraId="0C912822" w14:textId="77777777" w:rsidR="00273E5B" w:rsidRPr="00273E5B" w:rsidRDefault="00273E5B" w:rsidP="00273E5B">
      <w:pPr>
        <w:jc w:val="right"/>
      </w:pPr>
      <w:r w:rsidRPr="00273E5B">
        <w:fldChar w:fldCharType="begin"/>
      </w:r>
      <w:r w:rsidRPr="00273E5B">
        <w:instrText>HYPERLINK "https://eshia.ir/feqh/archive/text/jazayeri/feqh/93/931209/" \l "_ftnref3" \o ""</w:instrText>
      </w:r>
      <w:r w:rsidRPr="00273E5B">
        <w:fldChar w:fldCharType="separate"/>
      </w:r>
      <w:r w:rsidRPr="00273E5B">
        <w:rPr>
          <w:rStyle w:val="Hyperlink"/>
        </w:rPr>
        <w:t>[3]</w:t>
      </w:r>
      <w:r w:rsidRPr="00273E5B">
        <w:fldChar w:fldCharType="end"/>
      </w:r>
      <w:bookmarkEnd w:id="8"/>
      <w:r w:rsidRPr="00273E5B">
        <w:t> </w:t>
      </w:r>
      <w:hyperlink r:id="rId6" w:tgtFrame="_blank" w:history="1">
        <w:r w:rsidRPr="00273E5B">
          <w:rPr>
            <w:rStyle w:val="Hyperlink"/>
            <w:rtl/>
          </w:rPr>
          <w:t>العروه الوثقی، السید محمد کاظم الطباطبایی الیزدی، ج5، ص361</w:t>
        </w:r>
        <w:r w:rsidRPr="00273E5B">
          <w:rPr>
            <w:rStyle w:val="Hyperlink"/>
          </w:rPr>
          <w:t>.</w:t>
        </w:r>
      </w:hyperlink>
    </w:p>
    <w:bookmarkStart w:id="9" w:name="_ftn4"/>
    <w:p w14:paraId="37BD5028" w14:textId="77777777" w:rsidR="00273E5B" w:rsidRPr="00273E5B" w:rsidRDefault="00273E5B" w:rsidP="00273E5B">
      <w:pPr>
        <w:jc w:val="right"/>
      </w:pPr>
      <w:r w:rsidRPr="00273E5B">
        <w:fldChar w:fldCharType="begin"/>
      </w:r>
      <w:r w:rsidRPr="00273E5B">
        <w:instrText>HYPERLINK "https://eshia.ir/feqh/archive/text/jazayeri/feqh/93/931209/" \l "_ftnref4" \o ""</w:instrText>
      </w:r>
      <w:r w:rsidRPr="00273E5B">
        <w:fldChar w:fldCharType="separate"/>
      </w:r>
      <w:r w:rsidRPr="00273E5B">
        <w:rPr>
          <w:rStyle w:val="Hyperlink"/>
        </w:rPr>
        <w:t>[4]</w:t>
      </w:r>
      <w:r w:rsidRPr="00273E5B">
        <w:fldChar w:fldCharType="end"/>
      </w:r>
      <w:bookmarkEnd w:id="9"/>
      <w:r w:rsidRPr="00273E5B">
        <w:t> </w:t>
      </w:r>
      <w:hyperlink r:id="rId7" w:tgtFrame="_blank" w:history="1">
        <w:r w:rsidRPr="00273E5B">
          <w:rPr>
            <w:rStyle w:val="Hyperlink"/>
            <w:rtl/>
          </w:rPr>
          <w:t>وسائل الشیعه، شیخ حر عاملی، ج 19، ص 44، کتاب المزارعه و المساقات، باب9، شماره 24119، ح2،ط آل البیت</w:t>
        </w:r>
        <w:r w:rsidRPr="00273E5B">
          <w:rPr>
            <w:rStyle w:val="Hyperlink"/>
          </w:rPr>
          <w:t>.</w:t>
        </w:r>
      </w:hyperlink>
    </w:p>
    <w:bookmarkStart w:id="10" w:name="_ftn5"/>
    <w:p w14:paraId="74B8E406" w14:textId="77777777" w:rsidR="00273E5B" w:rsidRPr="00273E5B" w:rsidRDefault="00273E5B" w:rsidP="00273E5B">
      <w:pPr>
        <w:jc w:val="right"/>
      </w:pPr>
      <w:r w:rsidRPr="00273E5B">
        <w:fldChar w:fldCharType="begin"/>
      </w:r>
      <w:r w:rsidRPr="00273E5B">
        <w:instrText>HYPERLINK "https://eshia.ir/feqh/archive/text/jazayeri/feqh/93/931209/" \l "_ftnref5" \o ""</w:instrText>
      </w:r>
      <w:r w:rsidRPr="00273E5B">
        <w:fldChar w:fldCharType="separate"/>
      </w:r>
      <w:r w:rsidRPr="00273E5B">
        <w:rPr>
          <w:rStyle w:val="Hyperlink"/>
        </w:rPr>
        <w:t>[5]</w:t>
      </w:r>
      <w:r w:rsidRPr="00273E5B">
        <w:fldChar w:fldCharType="end"/>
      </w:r>
      <w:bookmarkEnd w:id="10"/>
      <w:r w:rsidRPr="00273E5B">
        <w:t> </w:t>
      </w:r>
      <w:hyperlink r:id="rId8" w:tgtFrame="_blank" w:history="1">
        <w:r w:rsidRPr="00273E5B">
          <w:rPr>
            <w:rStyle w:val="Hyperlink"/>
            <w:rtl/>
          </w:rPr>
          <w:t>العروه الوثقی، السید محمد کاظم الطباطبایی الیزدی، ج5، ص361</w:t>
        </w:r>
        <w:r w:rsidRPr="00273E5B">
          <w:rPr>
            <w:rStyle w:val="Hyperlink"/>
          </w:rPr>
          <w:t>.</w:t>
        </w:r>
      </w:hyperlink>
    </w:p>
    <w:bookmarkStart w:id="11" w:name="_ftn6"/>
    <w:p w14:paraId="74109DAE" w14:textId="77777777" w:rsidR="00273E5B" w:rsidRPr="00273E5B" w:rsidRDefault="00273E5B" w:rsidP="00273E5B">
      <w:pPr>
        <w:jc w:val="right"/>
      </w:pPr>
      <w:r w:rsidRPr="00273E5B">
        <w:fldChar w:fldCharType="begin"/>
      </w:r>
      <w:r w:rsidRPr="00273E5B">
        <w:instrText>HYPERLINK "https://eshia.ir/feqh/archive/text/jazayeri/feqh/93/931209/" \l "_ftnref6" \o ""</w:instrText>
      </w:r>
      <w:r w:rsidRPr="00273E5B">
        <w:fldChar w:fldCharType="separate"/>
      </w:r>
      <w:r w:rsidRPr="00273E5B">
        <w:rPr>
          <w:rStyle w:val="Hyperlink"/>
        </w:rPr>
        <w:t>[6]</w:t>
      </w:r>
      <w:r w:rsidRPr="00273E5B">
        <w:fldChar w:fldCharType="end"/>
      </w:r>
      <w:bookmarkEnd w:id="11"/>
      <w:r w:rsidRPr="00273E5B">
        <w:t> </w:t>
      </w:r>
      <w:hyperlink r:id="rId9" w:tgtFrame="_blank" w:history="1">
        <w:r w:rsidRPr="00273E5B">
          <w:rPr>
            <w:rStyle w:val="Hyperlink"/>
            <w:rtl/>
          </w:rPr>
          <w:t>العروه الوثقی، السید محمد کاظم الطباطبایی الیزدی، ج5، ص370</w:t>
        </w:r>
        <w:r w:rsidRPr="00273E5B">
          <w:rPr>
            <w:rStyle w:val="Hyperlink"/>
          </w:rPr>
          <w:t>.</w:t>
        </w:r>
      </w:hyperlink>
    </w:p>
    <w:p w14:paraId="79E81DF5" w14:textId="77777777" w:rsidR="00E404DB" w:rsidRDefault="00E404DB" w:rsidP="00273E5B">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12D9"/>
    <w:rsid w:val="00005F60"/>
    <w:rsid w:val="00273E5B"/>
    <w:rsid w:val="00423002"/>
    <w:rsid w:val="00963D73"/>
    <w:rsid w:val="00D112D9"/>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7DF693"/>
  <w15:chartTrackingRefBased/>
  <w15:docId w15:val="{B2883937-2455-4538-8187-115043E0D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112D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112D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112D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112D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112D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112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112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112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112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12D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112D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112D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112D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112D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112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112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112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112D9"/>
    <w:rPr>
      <w:rFonts w:eastAsiaTheme="majorEastAsia" w:cstheme="majorBidi"/>
      <w:color w:val="272727" w:themeColor="text1" w:themeTint="D8"/>
    </w:rPr>
  </w:style>
  <w:style w:type="paragraph" w:styleId="Title">
    <w:name w:val="Title"/>
    <w:basedOn w:val="Normal"/>
    <w:next w:val="Normal"/>
    <w:link w:val="TitleChar"/>
    <w:uiPriority w:val="10"/>
    <w:qFormat/>
    <w:rsid w:val="00D112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112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112D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112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112D9"/>
    <w:pPr>
      <w:spacing w:before="160"/>
      <w:jc w:val="center"/>
    </w:pPr>
    <w:rPr>
      <w:i/>
      <w:iCs/>
      <w:color w:val="404040" w:themeColor="text1" w:themeTint="BF"/>
    </w:rPr>
  </w:style>
  <w:style w:type="character" w:customStyle="1" w:styleId="QuoteChar">
    <w:name w:val="Quote Char"/>
    <w:basedOn w:val="DefaultParagraphFont"/>
    <w:link w:val="Quote"/>
    <w:uiPriority w:val="29"/>
    <w:rsid w:val="00D112D9"/>
    <w:rPr>
      <w:i/>
      <w:iCs/>
      <w:color w:val="404040" w:themeColor="text1" w:themeTint="BF"/>
    </w:rPr>
  </w:style>
  <w:style w:type="paragraph" w:styleId="ListParagraph">
    <w:name w:val="List Paragraph"/>
    <w:basedOn w:val="Normal"/>
    <w:uiPriority w:val="34"/>
    <w:qFormat/>
    <w:rsid w:val="00D112D9"/>
    <w:pPr>
      <w:ind w:left="720"/>
      <w:contextualSpacing/>
    </w:pPr>
  </w:style>
  <w:style w:type="character" w:styleId="IntenseEmphasis">
    <w:name w:val="Intense Emphasis"/>
    <w:basedOn w:val="DefaultParagraphFont"/>
    <w:uiPriority w:val="21"/>
    <w:qFormat/>
    <w:rsid w:val="00D112D9"/>
    <w:rPr>
      <w:i/>
      <w:iCs/>
      <w:color w:val="2F5496" w:themeColor="accent1" w:themeShade="BF"/>
    </w:rPr>
  </w:style>
  <w:style w:type="paragraph" w:styleId="IntenseQuote">
    <w:name w:val="Intense Quote"/>
    <w:basedOn w:val="Normal"/>
    <w:next w:val="Normal"/>
    <w:link w:val="IntenseQuoteChar"/>
    <w:uiPriority w:val="30"/>
    <w:qFormat/>
    <w:rsid w:val="00D112D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112D9"/>
    <w:rPr>
      <w:i/>
      <w:iCs/>
      <w:color w:val="2F5496" w:themeColor="accent1" w:themeShade="BF"/>
    </w:rPr>
  </w:style>
  <w:style w:type="character" w:styleId="IntenseReference">
    <w:name w:val="Intense Reference"/>
    <w:basedOn w:val="DefaultParagraphFont"/>
    <w:uiPriority w:val="32"/>
    <w:qFormat/>
    <w:rsid w:val="00D112D9"/>
    <w:rPr>
      <w:b/>
      <w:bCs/>
      <w:smallCaps/>
      <w:color w:val="2F5496" w:themeColor="accent1" w:themeShade="BF"/>
      <w:spacing w:val="5"/>
    </w:rPr>
  </w:style>
  <w:style w:type="character" w:styleId="Hyperlink">
    <w:name w:val="Hyperlink"/>
    <w:basedOn w:val="DefaultParagraphFont"/>
    <w:uiPriority w:val="99"/>
    <w:unhideWhenUsed/>
    <w:rsid w:val="00273E5B"/>
    <w:rPr>
      <w:color w:val="0563C1" w:themeColor="hyperlink"/>
      <w:u w:val="single"/>
    </w:rPr>
  </w:style>
  <w:style w:type="character" w:styleId="UnresolvedMention">
    <w:name w:val="Unresolved Mention"/>
    <w:basedOn w:val="DefaultParagraphFont"/>
    <w:uiPriority w:val="99"/>
    <w:semiHidden/>
    <w:unhideWhenUsed/>
    <w:rsid w:val="00273E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ib.eshia.ir/10027/5/361/%D9%8A%D8%AC%D9%88%D8%B2" TargetMode="External"/><Relationship Id="rId3" Type="http://schemas.openxmlformats.org/officeDocument/2006/relationships/webSettings" Target="webSettings.xml"/><Relationship Id="rId7" Type="http://schemas.openxmlformats.org/officeDocument/2006/relationships/hyperlink" Target="http://lib.eshia.ir/11025/23/191/%D8%B3%D9%86%D8%A7%D9%86"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lib.eshia.ir/10027/5/361/%D8%A7%D8%B4%D8%AA%D9%85%D9%84" TargetMode="External"/><Relationship Id="rId11" Type="http://schemas.openxmlformats.org/officeDocument/2006/relationships/theme" Target="theme/theme1.xml"/><Relationship Id="rId5" Type="http://schemas.openxmlformats.org/officeDocument/2006/relationships/hyperlink" Target="http://lib.eshia.ir/10027/5/359/%D8%A7%D9%84%D9%85%D8%B3%D8%A7%D9%82%D8%A7%D8%A9" TargetMode="External"/><Relationship Id="rId10" Type="http://schemas.openxmlformats.org/officeDocument/2006/relationships/fontTable" Target="fontTable.xml"/><Relationship Id="rId4" Type="http://schemas.openxmlformats.org/officeDocument/2006/relationships/hyperlink" Target="http://lib.eshia.ir/10027/5/362/%D9%8A%D8%B4%D8%AA%D8%B1%D8%B7" TargetMode="External"/><Relationship Id="rId9" Type="http://schemas.openxmlformats.org/officeDocument/2006/relationships/hyperlink" Target="http://lib.eshia.ir/10027/5/370/%D9%85%D9%88%D8%B6%D8%B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1056</Words>
  <Characters>6023</Characters>
  <Application>Microsoft Office Word</Application>
  <DocSecurity>0</DocSecurity>
  <Lines>50</Lines>
  <Paragraphs>14</Paragraphs>
  <ScaleCrop>false</ScaleCrop>
  <Company/>
  <LinksUpToDate>false</LinksUpToDate>
  <CharactersWithSpaces>7065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2025-11-26T21:32:00Z</dcterms:created>
  <dcterms:modified xsi:type="dcterms:W3CDTF">2025-11-26T21:33:00Z</dcterms:modified>
</cp:coreProperties>
</file>