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DD6DB4" w14:textId="77777777" w:rsidR="00E53FC8" w:rsidRPr="00E53FC8" w:rsidRDefault="00E53FC8" w:rsidP="00E53FC8">
      <w:pPr>
        <w:jc w:val="center"/>
        <w:rPr>
          <w:rFonts w:ascii="AhangVariable UltraBold" w:hAnsi="AhangVariable UltraBold" w:cs="AhangVariable UltraBold"/>
          <w:b/>
          <w:bCs/>
          <w:u w:val="single"/>
        </w:rPr>
      </w:pPr>
      <w:r w:rsidRPr="00E53FC8">
        <w:rPr>
          <w:rFonts w:ascii="AhangVariable UltraBold" w:hAnsi="AhangVariable UltraBold" w:cs="AhangVariable UltraBold"/>
          <w:b/>
          <w:bCs/>
          <w:u w:val="single"/>
          <w:rtl/>
        </w:rPr>
        <w:t>موضوع </w:t>
      </w:r>
      <w:r w:rsidRPr="00E53FC8">
        <w:rPr>
          <w:rFonts w:ascii="AhangVariable UltraBold" w:hAnsi="AhangVariable UltraBold" w:cs="AhangVariable UltraBold"/>
          <w:b/>
          <w:bCs/>
          <w:u w:val="single"/>
        </w:rPr>
        <w:t>: </w:t>
      </w:r>
      <w:r w:rsidRPr="00E53FC8">
        <w:rPr>
          <w:rFonts w:ascii="AhangVariable UltraBold" w:hAnsi="AhangVariable UltraBold" w:cs="AhangVariable UltraBold"/>
          <w:b/>
          <w:bCs/>
          <w:u w:val="single"/>
          <w:rtl/>
        </w:rPr>
        <w:t>بانکداری اسلامی / عقود بانکی / اجاره / شروط متعاقدین/ بررسی شرطیت بلوغ متعاقدین</w:t>
      </w:r>
    </w:p>
    <w:p w14:paraId="2CD18879" w14:textId="31092BAE" w:rsidR="00E53FC8" w:rsidRPr="00E53FC8" w:rsidRDefault="00E53FC8" w:rsidP="00E53FC8">
      <w:pPr>
        <w:jc w:val="right"/>
        <w:rPr>
          <w:rFonts w:cstheme="minorHAnsi"/>
          <w:b/>
          <w:bCs/>
          <w:sz w:val="22"/>
          <w:szCs w:val="22"/>
        </w:rPr>
      </w:pPr>
      <w:r w:rsidRPr="00E53FC8">
        <w:rPr>
          <w:rFonts w:cstheme="minorHAnsi"/>
          <w:b/>
          <w:bCs/>
          <w:sz w:val="22"/>
          <w:szCs w:val="22"/>
        </w:rPr>
        <w:br/>
      </w:r>
      <w:r w:rsidRPr="00E53FC8">
        <w:rPr>
          <w:rFonts w:cstheme="minorHAnsi"/>
          <w:b/>
          <w:bCs/>
          <w:sz w:val="22"/>
          <w:szCs w:val="22"/>
          <w:rtl/>
        </w:rPr>
        <w:t>مطلب به حدیث رفع رسید</w:t>
      </w:r>
      <w:r w:rsidRPr="00E53FC8">
        <w:rPr>
          <w:rFonts w:cstheme="minorHAnsi"/>
          <w:b/>
          <w:bCs/>
          <w:sz w:val="22"/>
          <w:szCs w:val="22"/>
        </w:rPr>
        <w:t>.</w:t>
      </w:r>
      <w:r w:rsidRPr="00E53FC8">
        <w:rPr>
          <w:rFonts w:cstheme="minorHAnsi"/>
          <w:b/>
          <w:bCs/>
          <w:sz w:val="22"/>
          <w:szCs w:val="22"/>
        </w:rPr>
        <w:br/>
      </w:r>
      <w:r w:rsidRPr="00E53FC8">
        <w:rPr>
          <w:rFonts w:cstheme="minorHAnsi"/>
          <w:b/>
          <w:bCs/>
          <w:sz w:val="22"/>
          <w:szCs w:val="22"/>
          <w:rtl/>
        </w:rPr>
        <w:t>گاهی مراد از حدیث رفع، روایت رفع امور هفتگانه و از جمله آنها «مالایعلمون» است، که در خصال شیخ صدوق آمده، گاهی نیز مراد، روایت رفع امور سه گانه است یعنی حدیث رفع قلم از صبی و نائم و مجنون است که دیروز به آن اشاره شد. همین حدیث در محل بحث مورد نظر ماست</w:t>
      </w:r>
      <w:r w:rsidRPr="00E53FC8">
        <w:rPr>
          <w:rFonts w:cstheme="minorHAnsi"/>
          <w:b/>
          <w:bCs/>
          <w:sz w:val="22"/>
          <w:szCs w:val="22"/>
        </w:rPr>
        <w:t>.</w:t>
      </w:r>
      <w:r w:rsidRPr="00E53FC8">
        <w:rPr>
          <w:rFonts w:cstheme="minorHAnsi"/>
          <w:b/>
          <w:bCs/>
          <w:sz w:val="22"/>
          <w:szCs w:val="22"/>
        </w:rPr>
        <w:br/>
      </w:r>
      <w:r w:rsidRPr="00E53FC8">
        <w:rPr>
          <w:rFonts w:cstheme="minorHAnsi"/>
          <w:b/>
          <w:bCs/>
          <w:sz w:val="22"/>
          <w:szCs w:val="22"/>
          <w:rtl/>
        </w:rPr>
        <w:t>در جلسه گذشته گفته شد که حدیث رفع قلم از جهت سند ضعیف است؛ چرا که سند آن شامل عده ای از راویان مجهول است. همچنین روایت از امیر المومنین توسط یونس ابن ضبیان نقل شده که در علم رجال معروف است و از غلات و ضعیف می باشد. لکن این روایت مشهور است و غیر از امیرالمومنین از رسول خدا و به طرق مختلف و هم از جانب شیعه و هم اهل سنت نقل شده. همچنین در کتب فقهی به این روایت استناد شده و در صدور آن مناقشه نشده؛ لذا این روایت از قبیل روایات متواتر یا لا اقل مستفیض بوده و رد آن از جهت ضعف سند به سهولت امکان پذیر نیست</w:t>
      </w:r>
      <w:r w:rsidRPr="00E53FC8">
        <w:rPr>
          <w:rFonts w:cstheme="minorHAnsi"/>
          <w:b/>
          <w:bCs/>
          <w:sz w:val="22"/>
          <w:szCs w:val="22"/>
        </w:rPr>
        <w:t>.</w:t>
      </w:r>
      <w:r w:rsidRPr="00E53FC8">
        <w:rPr>
          <w:rFonts w:cstheme="minorHAnsi"/>
          <w:b/>
          <w:bCs/>
          <w:sz w:val="22"/>
          <w:szCs w:val="22"/>
        </w:rPr>
        <w:br/>
      </w:r>
      <w:r w:rsidRPr="00E53FC8">
        <w:rPr>
          <w:rFonts w:cstheme="minorHAnsi"/>
          <w:b/>
          <w:bCs/>
          <w:sz w:val="22"/>
          <w:szCs w:val="22"/>
          <w:rtl/>
        </w:rPr>
        <w:t>مناقشه در دلالت حدیث رفع قلم</w:t>
      </w:r>
      <w:r w:rsidRPr="00E53FC8">
        <w:rPr>
          <w:rFonts w:cstheme="minorHAnsi"/>
          <w:b/>
          <w:bCs/>
          <w:sz w:val="22"/>
          <w:szCs w:val="22"/>
        </w:rPr>
        <w:br/>
      </w:r>
      <w:r w:rsidRPr="00E53FC8">
        <w:rPr>
          <w:rFonts w:cstheme="minorHAnsi"/>
          <w:b/>
          <w:bCs/>
          <w:sz w:val="22"/>
          <w:szCs w:val="22"/>
          <w:rtl/>
        </w:rPr>
        <w:t>اما در مورد ضعف دلالی روایت می گوییم: از روایت برای بطلان انشائات صبی استفاده شده که به نظرما عبارت آن شامل چنین مطلبی نمی باشد؛ چرا که عبارت روایت«رُفِع عنه» است و رفع در مقابل وضع می باشد و این دو کلمه در مقام وضع بار و سنگینی بر انسان و برداشتن آن از دوش اوست. لذا این کلمات در جایی که چیزی بار و سنگینی ندارد بلکه به نفع شخص می باشد، استعمال نمی شود. مثلا اگر ملکیت با ارث به صبی برسد، چون این ملکیت به نفع اوست نمی توان گفت: به دلیل شمول رفع قلم «الملک رُفع عن الصبی</w:t>
      </w:r>
      <w:r w:rsidRPr="00E53FC8">
        <w:rPr>
          <w:rFonts w:cstheme="minorHAnsi"/>
          <w:b/>
          <w:bCs/>
          <w:sz w:val="22"/>
          <w:szCs w:val="22"/>
        </w:rPr>
        <w:t>».</w:t>
      </w:r>
      <w:r w:rsidRPr="00E53FC8">
        <w:rPr>
          <w:rFonts w:cstheme="minorHAnsi"/>
          <w:b/>
          <w:bCs/>
          <w:sz w:val="22"/>
          <w:szCs w:val="22"/>
        </w:rPr>
        <w:br/>
      </w:r>
      <w:r w:rsidRPr="00E53FC8">
        <w:rPr>
          <w:rFonts w:cstheme="minorHAnsi"/>
          <w:b/>
          <w:bCs/>
          <w:sz w:val="22"/>
          <w:szCs w:val="22"/>
          <w:rtl/>
        </w:rPr>
        <w:t>در محل بحث نیز یعنی صحت کلام و انشاء و قصد صبی نیز بدلیل به نفع صبی بودن این موارد، معنا ندارد «رفع عنه» شامل این موارد نیز باشد و دلیل قاصر از شمول این موارد بوده؛ بلکه بطلان انشاء و کلام و قصد صبی ثقل و باری به دوش او است</w:t>
      </w:r>
      <w:r w:rsidRPr="00E53FC8">
        <w:rPr>
          <w:rFonts w:cstheme="minorHAnsi"/>
          <w:b/>
          <w:bCs/>
          <w:sz w:val="22"/>
          <w:szCs w:val="22"/>
        </w:rPr>
        <w:t>.</w:t>
      </w:r>
      <w:r w:rsidRPr="00E53FC8">
        <w:rPr>
          <w:rFonts w:cstheme="minorHAnsi"/>
          <w:b/>
          <w:bCs/>
          <w:sz w:val="22"/>
          <w:szCs w:val="22"/>
        </w:rPr>
        <w:br/>
      </w:r>
      <w:r w:rsidRPr="00E53FC8">
        <w:rPr>
          <w:rFonts w:cstheme="minorHAnsi"/>
          <w:b/>
          <w:bCs/>
          <w:sz w:val="22"/>
          <w:szCs w:val="22"/>
          <w:rtl/>
        </w:rPr>
        <w:t>استدلال به صحیحه محمد بن مسلم بر بطلان انشاء صبی</w:t>
      </w:r>
      <w:r w:rsidRPr="00E53FC8">
        <w:rPr>
          <w:rFonts w:cstheme="minorHAnsi"/>
          <w:b/>
          <w:bCs/>
          <w:sz w:val="22"/>
          <w:szCs w:val="22"/>
        </w:rPr>
        <w:br/>
      </w:r>
      <w:r w:rsidRPr="00E53FC8">
        <w:rPr>
          <w:rFonts w:cstheme="minorHAnsi"/>
          <w:b/>
          <w:bCs/>
          <w:sz w:val="22"/>
          <w:szCs w:val="22"/>
          <w:rtl/>
        </w:rPr>
        <w:t>با بیان نکات فوق مطلب جلسه گذشته که به صورت اجمالی بیان کردیم تکمیل شد</w:t>
      </w:r>
      <w:r w:rsidRPr="00E53FC8">
        <w:rPr>
          <w:rFonts w:cstheme="minorHAnsi"/>
          <w:b/>
          <w:bCs/>
          <w:sz w:val="22"/>
          <w:szCs w:val="22"/>
        </w:rPr>
        <w:t>.</w:t>
      </w:r>
      <w:r w:rsidRPr="00E53FC8">
        <w:rPr>
          <w:rFonts w:cstheme="minorHAnsi"/>
          <w:b/>
          <w:bCs/>
          <w:sz w:val="22"/>
          <w:szCs w:val="22"/>
        </w:rPr>
        <w:br/>
      </w:r>
      <w:r w:rsidRPr="00E53FC8">
        <w:rPr>
          <w:rFonts w:cstheme="minorHAnsi"/>
          <w:b/>
          <w:bCs/>
          <w:sz w:val="22"/>
          <w:szCs w:val="22"/>
          <w:rtl/>
        </w:rPr>
        <w:t>یکی دیگر از ادله ای که به آن استناد شده صحیح محمد بن مسلم است، </w:t>
      </w:r>
      <w:r w:rsidRPr="00E53FC8">
        <w:rPr>
          <w:rFonts w:cstheme="minorHAnsi"/>
          <w:b/>
          <w:bCs/>
          <w:sz w:val="22"/>
          <w:szCs w:val="22"/>
        </w:rPr>
        <w:t>«</w:t>
      </w:r>
      <w:r w:rsidRPr="00E53FC8">
        <w:rPr>
          <w:rFonts w:cstheme="minorHAnsi"/>
          <w:b/>
          <w:bCs/>
          <w:sz w:val="22"/>
          <w:szCs w:val="22"/>
          <w:rtl/>
        </w:rPr>
        <w:t>عَنْ مُحَمَّدِ بْنِ مُسْلِمٍ عَنْ أَبِي عَبْدِ اللَّهِ ع قَالَ: عَمْدُ الصَّبِيِّ وَ خَطَؤُهُ وَاحِدٌ</w:t>
      </w:r>
      <w:r w:rsidRPr="00E53FC8">
        <w:rPr>
          <w:rFonts w:cstheme="minorHAnsi"/>
          <w:b/>
          <w:bCs/>
          <w:sz w:val="22"/>
          <w:szCs w:val="22"/>
        </w:rPr>
        <w:t>.» </w:t>
      </w:r>
      <w:bookmarkStart w:id="0" w:name="_ftnref1"/>
      <w:r w:rsidRPr="00E53FC8">
        <w:rPr>
          <w:rFonts w:cstheme="minorHAnsi"/>
          <w:b/>
          <w:bCs/>
          <w:sz w:val="22"/>
          <w:szCs w:val="22"/>
        </w:rPr>
        <w:fldChar w:fldCharType="begin"/>
      </w:r>
      <w:r w:rsidRPr="00E53FC8">
        <w:rPr>
          <w:rFonts w:cstheme="minorHAnsi"/>
          <w:b/>
          <w:bCs/>
          <w:sz w:val="22"/>
          <w:szCs w:val="22"/>
        </w:rPr>
        <w:instrText>HYPERLINK "https://eshia.ir/feqh/archive/text/jazayeri/feqh/93/940117/" \l "_ftn1" \o "</w:instrText>
      </w:r>
      <w:r w:rsidRPr="00E53FC8">
        <w:rPr>
          <w:rFonts w:cstheme="minorHAnsi"/>
          <w:b/>
          <w:bCs/>
          <w:sz w:val="22"/>
          <w:szCs w:val="22"/>
          <w:rtl/>
        </w:rPr>
        <w:instrText>وسائل الشیعه، شیخ حر</w:instrText>
      </w:r>
      <w:r w:rsidRPr="00E53FC8">
        <w:rPr>
          <w:rFonts w:cstheme="minorHAnsi"/>
          <w:b/>
          <w:bCs/>
          <w:sz w:val="22"/>
          <w:szCs w:val="22"/>
        </w:rPr>
        <w:instrText xml:space="preserve">
</w:instrText>
      </w:r>
      <w:r w:rsidRPr="00E53FC8">
        <w:rPr>
          <w:rFonts w:cstheme="minorHAnsi"/>
          <w:b/>
          <w:bCs/>
          <w:sz w:val="22"/>
          <w:szCs w:val="22"/>
          <w:rtl/>
        </w:rPr>
        <w:instrText>عاملی، ج 29، ص 400، أبواب العاقله، باب11، شماره 35859، ح2،ط آل</w:instrText>
      </w:r>
      <w:r w:rsidRPr="00E53FC8">
        <w:rPr>
          <w:rFonts w:cstheme="minorHAnsi"/>
          <w:b/>
          <w:bCs/>
          <w:sz w:val="22"/>
          <w:szCs w:val="22"/>
        </w:rPr>
        <w:instrText xml:space="preserve">
</w:instrText>
      </w:r>
      <w:r w:rsidRPr="00E53FC8">
        <w:rPr>
          <w:rFonts w:cstheme="minorHAnsi"/>
          <w:b/>
          <w:bCs/>
          <w:sz w:val="22"/>
          <w:szCs w:val="22"/>
          <w:rtl/>
        </w:rPr>
        <w:instrText>البیت</w:instrText>
      </w:r>
      <w:r w:rsidRPr="00E53FC8">
        <w:rPr>
          <w:rFonts w:cstheme="minorHAnsi"/>
          <w:b/>
          <w:bCs/>
          <w:sz w:val="22"/>
          <w:szCs w:val="22"/>
        </w:rPr>
        <w:instrText>"</w:instrText>
      </w:r>
      <w:r w:rsidRPr="00E53FC8">
        <w:rPr>
          <w:rFonts w:cstheme="minorHAnsi"/>
          <w:b/>
          <w:bCs/>
          <w:sz w:val="22"/>
          <w:szCs w:val="22"/>
        </w:rPr>
      </w:r>
      <w:r w:rsidRPr="00E53FC8">
        <w:rPr>
          <w:rFonts w:cstheme="minorHAnsi"/>
          <w:b/>
          <w:bCs/>
          <w:sz w:val="22"/>
          <w:szCs w:val="22"/>
        </w:rPr>
        <w:fldChar w:fldCharType="separate"/>
      </w:r>
      <w:r w:rsidRPr="00E53FC8">
        <w:rPr>
          <w:rStyle w:val="Hyperlink"/>
          <w:rFonts w:cstheme="minorHAnsi"/>
          <w:b/>
          <w:bCs/>
          <w:sz w:val="22"/>
          <w:szCs w:val="22"/>
        </w:rPr>
        <w:t>[1]</w:t>
      </w:r>
      <w:r w:rsidRPr="00E53FC8">
        <w:rPr>
          <w:rFonts w:cstheme="minorHAnsi"/>
          <w:b/>
          <w:bCs/>
          <w:sz w:val="22"/>
          <w:szCs w:val="22"/>
        </w:rPr>
        <w:fldChar w:fldCharType="end"/>
      </w:r>
      <w:bookmarkEnd w:id="0"/>
      <w:r w:rsidRPr="00E53FC8">
        <w:rPr>
          <w:rFonts w:cstheme="minorHAnsi"/>
          <w:b/>
          <w:bCs/>
          <w:sz w:val="22"/>
          <w:szCs w:val="22"/>
        </w:rPr>
        <w:br/>
      </w:r>
      <w:r w:rsidRPr="00E53FC8">
        <w:rPr>
          <w:rFonts w:cstheme="minorHAnsi"/>
          <w:b/>
          <w:bCs/>
          <w:sz w:val="22"/>
          <w:szCs w:val="22"/>
          <w:rtl/>
        </w:rPr>
        <w:t>در کتاب مکاسب شیخ این روایت آمده که بعضی از فقها بر اساس این روایت قائل به بطلان انشاء صبی شده اند، در مقام استدلال فرموده اند: انشاء نیازمند و متقوم به قصد است و از این روایات استفاده می شود که قصد صبی کلاقصد و باطل است</w:t>
      </w:r>
      <w:r w:rsidRPr="00E53FC8">
        <w:rPr>
          <w:rFonts w:cstheme="minorHAnsi"/>
          <w:b/>
          <w:bCs/>
          <w:sz w:val="22"/>
          <w:szCs w:val="22"/>
        </w:rPr>
        <w:t>.</w:t>
      </w:r>
      <w:r w:rsidRPr="00E53FC8">
        <w:rPr>
          <w:rFonts w:cstheme="minorHAnsi"/>
          <w:b/>
          <w:bCs/>
          <w:sz w:val="22"/>
          <w:szCs w:val="22"/>
        </w:rPr>
        <w:br/>
      </w:r>
      <w:r w:rsidRPr="00E53FC8">
        <w:rPr>
          <w:rFonts w:cstheme="minorHAnsi"/>
          <w:b/>
          <w:bCs/>
          <w:sz w:val="22"/>
          <w:szCs w:val="22"/>
          <w:rtl/>
        </w:rPr>
        <w:t>مناقشه در دلالت صحیحه بر مدعا</w:t>
      </w:r>
      <w:r w:rsidRPr="00E53FC8">
        <w:rPr>
          <w:rFonts w:cstheme="minorHAnsi"/>
          <w:b/>
          <w:bCs/>
          <w:sz w:val="22"/>
          <w:szCs w:val="22"/>
        </w:rPr>
        <w:br/>
      </w:r>
      <w:r w:rsidRPr="00E53FC8">
        <w:rPr>
          <w:rFonts w:cstheme="minorHAnsi"/>
          <w:b/>
          <w:bCs/>
          <w:sz w:val="22"/>
          <w:szCs w:val="22"/>
          <w:rtl/>
        </w:rPr>
        <w:t>لکن شیخ در این استدلال مناقشه کرده و فرموده: استفاده این معنا از این صحیحه ممکن نیست. بله عمد به معنای قصد است و عمد صبی مانند خطاء می باشد لکن در صحیحه نیامده که عمد صبی همچون غیر عمد و قصد او چون بی قصدی است که در این صورت دلالت تمام بود. خطا صرف عدم قصد نیست و به معنای آن است که فعلی با قصدی صادر شود که آن قصد مصادف با واقع نباشد. یعنی</w:t>
      </w:r>
      <w:r w:rsidRPr="00E53FC8">
        <w:rPr>
          <w:rFonts w:cstheme="minorHAnsi"/>
          <w:b/>
          <w:bCs/>
          <w:sz w:val="22"/>
          <w:szCs w:val="22"/>
        </w:rPr>
        <w:t xml:space="preserve"> «</w:t>
      </w:r>
      <w:r w:rsidRPr="00E53FC8">
        <w:rPr>
          <w:rFonts w:cstheme="minorHAnsi"/>
          <w:b/>
          <w:bCs/>
          <w:sz w:val="22"/>
          <w:szCs w:val="22"/>
          <w:rtl/>
        </w:rPr>
        <w:t>ما قُصِد لم یقع و ما وَقَع لم یُقصَد</w:t>
      </w:r>
      <w:r w:rsidRPr="00E53FC8">
        <w:rPr>
          <w:rFonts w:cstheme="minorHAnsi"/>
          <w:b/>
          <w:bCs/>
          <w:sz w:val="22"/>
          <w:szCs w:val="22"/>
        </w:rPr>
        <w:t xml:space="preserve">» </w:t>
      </w:r>
      <w:r w:rsidRPr="00E53FC8">
        <w:rPr>
          <w:rFonts w:cstheme="minorHAnsi"/>
          <w:b/>
          <w:bCs/>
          <w:sz w:val="22"/>
          <w:szCs w:val="22"/>
          <w:rtl/>
        </w:rPr>
        <w:t>به عبارت دیگر در موارد خطا قصد وجود دارد لکن موافق قصد نمی باشد. مثلا انسان قصد پرتاب چیزی به دیوار می کند اما آن چیز به اشتباه به انسانی می خورد و کشته می شود، این قتل را قتل خطئی می گویند. فعل خطئی نیز آثاری در شریعت اسلامی دارد؛ مثلا اگر جنایتی به عمد واقع شود، حکم قصاص اما در صورت خطای محض باشد، حکم دیه بر عاقله و اگر خطای شبه عمد باشد، دیه بر نفس خاطی است. بنا بر این اگر بالغین مرتکب قتل عمد شوند قصاص و در خطا دیه واجب است، اما اگر قتل از صبی سرزند، حکم خطا را خواهد داشت؛ یعنی دیه واجب است</w:t>
      </w:r>
      <w:r w:rsidRPr="00E53FC8">
        <w:rPr>
          <w:rFonts w:cstheme="minorHAnsi"/>
          <w:b/>
          <w:bCs/>
          <w:sz w:val="22"/>
          <w:szCs w:val="22"/>
        </w:rPr>
        <w:t>.</w:t>
      </w:r>
      <w:r w:rsidRPr="00E53FC8">
        <w:rPr>
          <w:rFonts w:cstheme="minorHAnsi"/>
          <w:b/>
          <w:bCs/>
          <w:sz w:val="22"/>
          <w:szCs w:val="22"/>
        </w:rPr>
        <w:br/>
      </w:r>
      <w:r w:rsidRPr="00E53FC8">
        <w:rPr>
          <w:rFonts w:cstheme="minorHAnsi"/>
          <w:b/>
          <w:bCs/>
          <w:sz w:val="22"/>
          <w:szCs w:val="22"/>
          <w:rtl/>
        </w:rPr>
        <w:t>بنابراین معنای روایت آنجاست که عمد اثری داشته باشد و خطا اثری دیگر و اگر آن فعل از صبی صادر شود حکم و اثر فعل خطئی را خواهد داشت. لذا تفسیر کلمه «خطا» در صحیحه به «کلاعمد» صحیح نیست و ظاهر دلیل اختصاص به مواردی مانند باب جنایات دارد که موضوع خطا و عمد هردو دارای اثری جدا باشند و در مثل بیع و مساله صحت انشاء که صبی قصدی می کند و برای عنوان خطا اثری وجود ندارد، علاقه و ارتباطی به صحیحه نخواهد داشت</w:t>
      </w:r>
      <w:r w:rsidRPr="00E53FC8">
        <w:rPr>
          <w:rFonts w:cstheme="minorHAnsi"/>
          <w:b/>
          <w:bCs/>
          <w:sz w:val="22"/>
          <w:szCs w:val="22"/>
        </w:rPr>
        <w:t>.</w:t>
      </w:r>
      <w:r w:rsidRPr="00E53FC8">
        <w:rPr>
          <w:rFonts w:cstheme="minorHAnsi"/>
          <w:b/>
          <w:bCs/>
          <w:sz w:val="22"/>
          <w:szCs w:val="22"/>
        </w:rPr>
        <w:br/>
      </w:r>
      <w:r w:rsidRPr="00E53FC8">
        <w:rPr>
          <w:rFonts w:cstheme="minorHAnsi"/>
          <w:b/>
          <w:bCs/>
          <w:sz w:val="22"/>
          <w:szCs w:val="22"/>
          <w:rtl/>
        </w:rPr>
        <w:t xml:space="preserve">اما در مورد انشائیات که اثر منحصر به قصد است و انشاء بدون آن عقلاً در خارج محقق نیست، خطا اثری شرعی ندارد. یعنی اگر قصد وجود داشت اثر هم هست و اگر نبود به تبع اثر آن نیز نخواهد بود؛ این مطلب امری عقلی است و شارع دخالتی در آن </w:t>
      </w:r>
      <w:r w:rsidRPr="00E53FC8">
        <w:rPr>
          <w:rFonts w:cstheme="minorHAnsi"/>
          <w:b/>
          <w:bCs/>
          <w:sz w:val="22"/>
          <w:szCs w:val="22"/>
          <w:rtl/>
        </w:rPr>
        <w:lastRenderedPageBreak/>
        <w:t>ندارد</w:t>
      </w:r>
      <w:r w:rsidRPr="00E53FC8">
        <w:rPr>
          <w:rFonts w:cstheme="minorHAnsi"/>
          <w:b/>
          <w:bCs/>
          <w:sz w:val="22"/>
          <w:szCs w:val="22"/>
        </w:rPr>
        <w:t>.</w:t>
      </w:r>
      <w:r w:rsidRPr="00E53FC8">
        <w:rPr>
          <w:rFonts w:cstheme="minorHAnsi"/>
          <w:b/>
          <w:bCs/>
          <w:sz w:val="22"/>
          <w:szCs w:val="22"/>
        </w:rPr>
        <w:br/>
      </w:r>
      <w:r w:rsidRPr="00E53FC8">
        <w:rPr>
          <w:rFonts w:cstheme="minorHAnsi"/>
          <w:b/>
          <w:bCs/>
          <w:sz w:val="22"/>
          <w:szCs w:val="22"/>
          <w:rtl/>
        </w:rPr>
        <w:t>موید این تفسیر یعنی اختصاص صحیحه به باب جنایات، تصریح روایت اسحاق بن عمار به همین معناست</w:t>
      </w:r>
      <w:r w:rsidRPr="00E53FC8">
        <w:rPr>
          <w:rFonts w:cstheme="minorHAnsi"/>
          <w:b/>
          <w:bCs/>
          <w:sz w:val="22"/>
          <w:szCs w:val="22"/>
        </w:rPr>
        <w:t>. «</w:t>
      </w:r>
      <w:r w:rsidRPr="00E53FC8">
        <w:rPr>
          <w:rFonts w:cstheme="minorHAnsi"/>
          <w:b/>
          <w:bCs/>
          <w:sz w:val="22"/>
          <w:szCs w:val="22"/>
          <w:rtl/>
        </w:rPr>
        <w:t>عَنْ إِسْحَاقَ بْنِ عَمَّارٍ عَنْ جَعْفَرٍ عَنْ أَبِيهِ أَنَّ عَلِيّاً ع كَانَ يَقُولُ عَمْدُ الصِّبْيَانِ خَطَأٌ (يُحْمَلُ عَلَى) الْعَاقِلَةِ</w:t>
      </w:r>
      <w:r w:rsidRPr="00E53FC8">
        <w:rPr>
          <w:rFonts w:cstheme="minorHAnsi"/>
          <w:b/>
          <w:bCs/>
          <w:sz w:val="22"/>
          <w:szCs w:val="22"/>
        </w:rPr>
        <w:t>»</w:t>
      </w:r>
      <w:bookmarkStart w:id="1" w:name="_ftnref2"/>
      <w:r w:rsidRPr="00E53FC8">
        <w:rPr>
          <w:rFonts w:cstheme="minorHAnsi"/>
          <w:b/>
          <w:bCs/>
          <w:sz w:val="22"/>
          <w:szCs w:val="22"/>
        </w:rPr>
        <w:fldChar w:fldCharType="begin"/>
      </w:r>
      <w:r w:rsidRPr="00E53FC8">
        <w:rPr>
          <w:rFonts w:cstheme="minorHAnsi"/>
          <w:b/>
          <w:bCs/>
          <w:sz w:val="22"/>
          <w:szCs w:val="22"/>
        </w:rPr>
        <w:instrText>HYPERLINK "https://eshia.ir/feqh/archive/text/jazayeri/feqh/93/940117/" \l "_ftn2" \o "</w:instrText>
      </w:r>
      <w:r w:rsidRPr="00E53FC8">
        <w:rPr>
          <w:rFonts w:cstheme="minorHAnsi"/>
          <w:b/>
          <w:bCs/>
          <w:sz w:val="22"/>
          <w:szCs w:val="22"/>
          <w:rtl/>
        </w:rPr>
        <w:instrText>وسائل الشیعه،</w:instrText>
      </w:r>
      <w:r w:rsidRPr="00E53FC8">
        <w:rPr>
          <w:rFonts w:cstheme="minorHAnsi"/>
          <w:b/>
          <w:bCs/>
          <w:sz w:val="22"/>
          <w:szCs w:val="22"/>
        </w:rPr>
        <w:instrText xml:space="preserve">
</w:instrText>
      </w:r>
      <w:r w:rsidRPr="00E53FC8">
        <w:rPr>
          <w:rFonts w:cstheme="minorHAnsi"/>
          <w:b/>
          <w:bCs/>
          <w:sz w:val="22"/>
          <w:szCs w:val="22"/>
          <w:rtl/>
        </w:rPr>
        <w:instrText>شیخ حر عاملی، ج 29، ص 400، أبواب العاقله، باب11، شماره 35860، ح3،ط</w:instrText>
      </w:r>
      <w:r w:rsidRPr="00E53FC8">
        <w:rPr>
          <w:rFonts w:cstheme="minorHAnsi"/>
          <w:b/>
          <w:bCs/>
          <w:sz w:val="22"/>
          <w:szCs w:val="22"/>
        </w:rPr>
        <w:instrText xml:space="preserve">
</w:instrText>
      </w:r>
      <w:r w:rsidRPr="00E53FC8">
        <w:rPr>
          <w:rFonts w:cstheme="minorHAnsi"/>
          <w:b/>
          <w:bCs/>
          <w:sz w:val="22"/>
          <w:szCs w:val="22"/>
          <w:rtl/>
        </w:rPr>
        <w:instrText>آل البیت</w:instrText>
      </w:r>
      <w:r w:rsidRPr="00E53FC8">
        <w:rPr>
          <w:rFonts w:cstheme="minorHAnsi"/>
          <w:b/>
          <w:bCs/>
          <w:sz w:val="22"/>
          <w:szCs w:val="22"/>
        </w:rPr>
        <w:instrText>"</w:instrText>
      </w:r>
      <w:r w:rsidRPr="00E53FC8">
        <w:rPr>
          <w:rFonts w:cstheme="minorHAnsi"/>
          <w:b/>
          <w:bCs/>
          <w:sz w:val="22"/>
          <w:szCs w:val="22"/>
        </w:rPr>
      </w:r>
      <w:r w:rsidRPr="00E53FC8">
        <w:rPr>
          <w:rFonts w:cstheme="minorHAnsi"/>
          <w:b/>
          <w:bCs/>
          <w:sz w:val="22"/>
          <w:szCs w:val="22"/>
        </w:rPr>
        <w:fldChar w:fldCharType="separate"/>
      </w:r>
      <w:r w:rsidRPr="00E53FC8">
        <w:rPr>
          <w:rStyle w:val="Hyperlink"/>
          <w:rFonts w:cstheme="minorHAnsi"/>
          <w:b/>
          <w:bCs/>
          <w:sz w:val="22"/>
          <w:szCs w:val="22"/>
        </w:rPr>
        <w:t>[2]</w:t>
      </w:r>
      <w:r w:rsidRPr="00E53FC8">
        <w:rPr>
          <w:rFonts w:cstheme="minorHAnsi"/>
          <w:b/>
          <w:bCs/>
          <w:sz w:val="22"/>
          <w:szCs w:val="22"/>
        </w:rPr>
        <w:fldChar w:fldCharType="end"/>
      </w:r>
      <w:bookmarkEnd w:id="1"/>
      <w:r w:rsidRPr="00E53FC8">
        <w:rPr>
          <w:rFonts w:cstheme="minorHAnsi"/>
          <w:b/>
          <w:bCs/>
          <w:sz w:val="22"/>
          <w:szCs w:val="22"/>
        </w:rPr>
        <w:t> </w:t>
      </w:r>
      <w:r w:rsidRPr="00E53FC8">
        <w:rPr>
          <w:rFonts w:cstheme="minorHAnsi"/>
          <w:b/>
          <w:bCs/>
          <w:sz w:val="22"/>
          <w:szCs w:val="22"/>
          <w:rtl/>
        </w:rPr>
        <w:t>یعنی اثر عمد صبی دیه است که مختص به باب جنایات و بر گردن عاقله می باشد</w:t>
      </w:r>
      <w:r w:rsidRPr="00E53FC8">
        <w:rPr>
          <w:rFonts w:cstheme="minorHAnsi"/>
          <w:b/>
          <w:bCs/>
          <w:sz w:val="22"/>
          <w:szCs w:val="22"/>
        </w:rPr>
        <w:t>.</w:t>
      </w:r>
      <w:r w:rsidRPr="00E53FC8">
        <w:rPr>
          <w:rFonts w:cstheme="minorHAnsi"/>
          <w:b/>
          <w:bCs/>
          <w:sz w:val="22"/>
          <w:szCs w:val="22"/>
        </w:rPr>
        <w:br/>
      </w:r>
      <w:r w:rsidRPr="00E53FC8">
        <w:rPr>
          <w:rFonts w:cstheme="minorHAnsi"/>
          <w:b/>
          <w:bCs/>
          <w:sz w:val="22"/>
          <w:szCs w:val="22"/>
          <w:rtl/>
        </w:rPr>
        <w:t>موید دیگر روایت ابی البختری است</w:t>
      </w:r>
      <w:r w:rsidRPr="00E53FC8">
        <w:rPr>
          <w:rFonts w:cstheme="minorHAnsi"/>
          <w:b/>
          <w:bCs/>
          <w:sz w:val="22"/>
          <w:szCs w:val="22"/>
        </w:rPr>
        <w:t xml:space="preserve"> «</w:t>
      </w:r>
      <w:r w:rsidRPr="00E53FC8">
        <w:rPr>
          <w:rFonts w:cstheme="minorHAnsi"/>
          <w:b/>
          <w:bCs/>
          <w:sz w:val="22"/>
          <w:szCs w:val="22"/>
          <w:rtl/>
        </w:rPr>
        <w:t>عَنْ أَبِي الْبَخْتَرِيِّ عَنْ جَعْفَرٍ عَنْ أَبِيهِ عَنْ عَلِيٍّ ع أَنَّهُ كَانَ يَقُولُ فِي الْمَجْنُونِ- وَ الْمَعْتُوهِ الَّذِي لَا يُفِيقُ- وَ الصَّبِيِّ الَّذِي لَمْ يَبْلُغْ- عَمْدُهُمَا خَطَأٌ تَحْمِلُهُ الْعَاقِلَةُ وَ قَدْ رُفِعَ عَنْهُمَا الْقَلَمُ</w:t>
      </w:r>
      <w:r w:rsidRPr="00E53FC8">
        <w:rPr>
          <w:rFonts w:cstheme="minorHAnsi"/>
          <w:b/>
          <w:bCs/>
          <w:sz w:val="22"/>
          <w:szCs w:val="22"/>
        </w:rPr>
        <w:t>.» </w:t>
      </w:r>
      <w:bookmarkStart w:id="2" w:name="_ftnref3"/>
      <w:r w:rsidRPr="00E53FC8">
        <w:rPr>
          <w:rFonts w:cstheme="minorHAnsi"/>
          <w:b/>
          <w:bCs/>
          <w:sz w:val="22"/>
          <w:szCs w:val="22"/>
        </w:rPr>
        <w:fldChar w:fldCharType="begin"/>
      </w:r>
      <w:r w:rsidRPr="00E53FC8">
        <w:rPr>
          <w:rFonts w:cstheme="minorHAnsi"/>
          <w:b/>
          <w:bCs/>
          <w:sz w:val="22"/>
          <w:szCs w:val="22"/>
        </w:rPr>
        <w:instrText>HYPERLINK "https://eshia.ir/feqh/archive/text/jazayeri/feqh/93/940117/" \l "_ftn3" \o "</w:instrText>
      </w:r>
      <w:r w:rsidRPr="00E53FC8">
        <w:rPr>
          <w:rFonts w:cstheme="minorHAnsi"/>
          <w:b/>
          <w:bCs/>
          <w:sz w:val="22"/>
          <w:szCs w:val="22"/>
          <w:rtl/>
        </w:rPr>
        <w:instrText>وسائل الشیعه،</w:instrText>
      </w:r>
      <w:r w:rsidRPr="00E53FC8">
        <w:rPr>
          <w:rFonts w:cstheme="minorHAnsi"/>
          <w:b/>
          <w:bCs/>
          <w:sz w:val="22"/>
          <w:szCs w:val="22"/>
        </w:rPr>
        <w:instrText xml:space="preserve">
</w:instrText>
      </w:r>
      <w:r w:rsidRPr="00E53FC8">
        <w:rPr>
          <w:rFonts w:cstheme="minorHAnsi"/>
          <w:b/>
          <w:bCs/>
          <w:sz w:val="22"/>
          <w:szCs w:val="22"/>
          <w:rtl/>
        </w:rPr>
        <w:instrText>شیخ حر عاملی، ج 29، ص 91، أبواب القصاص فی النفس، باب36،</w:instrText>
      </w:r>
      <w:r w:rsidRPr="00E53FC8">
        <w:rPr>
          <w:rFonts w:cstheme="minorHAnsi"/>
          <w:b/>
          <w:bCs/>
          <w:sz w:val="22"/>
          <w:szCs w:val="22"/>
        </w:rPr>
        <w:instrText xml:space="preserve">
</w:instrText>
      </w:r>
      <w:r w:rsidRPr="00E53FC8">
        <w:rPr>
          <w:rFonts w:cstheme="minorHAnsi"/>
          <w:b/>
          <w:bCs/>
          <w:sz w:val="22"/>
          <w:szCs w:val="22"/>
          <w:rtl/>
        </w:rPr>
        <w:instrText>شماره 35225، ح2،ط آل البیت</w:instrText>
      </w:r>
      <w:r w:rsidRPr="00E53FC8">
        <w:rPr>
          <w:rFonts w:cstheme="minorHAnsi"/>
          <w:b/>
          <w:bCs/>
          <w:sz w:val="22"/>
          <w:szCs w:val="22"/>
        </w:rPr>
        <w:instrText>"</w:instrText>
      </w:r>
      <w:r w:rsidRPr="00E53FC8">
        <w:rPr>
          <w:rFonts w:cstheme="minorHAnsi"/>
          <w:b/>
          <w:bCs/>
          <w:sz w:val="22"/>
          <w:szCs w:val="22"/>
        </w:rPr>
      </w:r>
      <w:r w:rsidRPr="00E53FC8">
        <w:rPr>
          <w:rFonts w:cstheme="minorHAnsi"/>
          <w:b/>
          <w:bCs/>
          <w:sz w:val="22"/>
          <w:szCs w:val="22"/>
        </w:rPr>
        <w:fldChar w:fldCharType="separate"/>
      </w:r>
      <w:r w:rsidRPr="00E53FC8">
        <w:rPr>
          <w:rStyle w:val="Hyperlink"/>
          <w:rFonts w:cstheme="minorHAnsi"/>
          <w:b/>
          <w:bCs/>
          <w:sz w:val="22"/>
          <w:szCs w:val="22"/>
        </w:rPr>
        <w:t>[3]</w:t>
      </w:r>
      <w:r w:rsidRPr="00E53FC8">
        <w:rPr>
          <w:rFonts w:cstheme="minorHAnsi"/>
          <w:b/>
          <w:bCs/>
          <w:sz w:val="22"/>
          <w:szCs w:val="22"/>
        </w:rPr>
        <w:fldChar w:fldCharType="end"/>
      </w:r>
      <w:bookmarkEnd w:id="2"/>
      <w:r w:rsidRPr="00E53FC8">
        <w:rPr>
          <w:rFonts w:cstheme="minorHAnsi"/>
          <w:b/>
          <w:bCs/>
          <w:sz w:val="22"/>
          <w:szCs w:val="22"/>
        </w:rPr>
        <w:t> </w:t>
      </w:r>
      <w:r w:rsidRPr="00E53FC8">
        <w:rPr>
          <w:rFonts w:cstheme="minorHAnsi"/>
          <w:b/>
          <w:bCs/>
          <w:sz w:val="22"/>
          <w:szCs w:val="22"/>
          <w:rtl/>
        </w:rPr>
        <w:t>مجنون دیوانه و معتوه به معنای ناقص العقل است. یعنی بعد از تطبیق حدیث رفع قلم، آن را در مورد دیه که مختص به باب جنایات است دانسته. لذا این روایت نیز دلیلی به اختصاص این موارد به باب جنایات می باشد</w:t>
      </w:r>
      <w:r w:rsidRPr="00E53FC8">
        <w:rPr>
          <w:rFonts w:cstheme="minorHAnsi"/>
          <w:b/>
          <w:bCs/>
          <w:sz w:val="22"/>
          <w:szCs w:val="22"/>
        </w:rPr>
        <w:t>.</w:t>
      </w:r>
      <w:r w:rsidRPr="00E53FC8">
        <w:rPr>
          <w:rFonts w:cstheme="minorHAnsi"/>
          <w:b/>
          <w:bCs/>
          <w:sz w:val="22"/>
          <w:szCs w:val="22"/>
        </w:rPr>
        <w:br/>
      </w:r>
      <w:r w:rsidRPr="00E53FC8">
        <w:rPr>
          <w:rFonts w:cstheme="minorHAnsi"/>
          <w:b/>
          <w:bCs/>
          <w:sz w:val="22"/>
          <w:szCs w:val="22"/>
          <w:rtl/>
        </w:rPr>
        <w:t>اما در دیگر مواردی که فعل صبی موجب ضمان است، صبی بودن او موجب رفع ضمان نشده بلکه به اجماع اصحاب تنها حکم تکلیفی را بر می دارد، یعنی مادامی که صبی به سن بلوغ نرسیده چیزی بر او واجب نمی شود لکن رد ضمان بر ذمه او تا بعد از بلوغ باقی خواهد ماند. بر ولی او نیز واجب نیست تا قبل از بلوغ مبادرت به پرداخت ضمان نماید</w:t>
      </w:r>
      <w:r w:rsidRPr="00E53FC8">
        <w:rPr>
          <w:rFonts w:cstheme="minorHAnsi"/>
          <w:b/>
          <w:bCs/>
          <w:sz w:val="22"/>
          <w:szCs w:val="22"/>
        </w:rPr>
        <w:t>.</w:t>
      </w:r>
      <w:r w:rsidRPr="00E53FC8">
        <w:rPr>
          <w:rFonts w:cstheme="minorHAnsi"/>
          <w:b/>
          <w:bCs/>
          <w:sz w:val="22"/>
          <w:szCs w:val="22"/>
        </w:rPr>
        <w:br/>
      </w:r>
      <w:r w:rsidRPr="00E53FC8">
        <w:rPr>
          <w:rFonts w:cstheme="minorHAnsi"/>
          <w:b/>
          <w:bCs/>
          <w:sz w:val="22"/>
          <w:szCs w:val="22"/>
          <w:rtl/>
        </w:rPr>
        <w:t>از کلمات فوق معلوم می شود که استدلال به این روایات بر بطلان انشاء صبی استدلالی سقیم است</w:t>
      </w:r>
      <w:r w:rsidRPr="00E53FC8">
        <w:rPr>
          <w:rFonts w:cstheme="minorHAnsi"/>
          <w:b/>
          <w:bCs/>
          <w:sz w:val="22"/>
          <w:szCs w:val="22"/>
        </w:rPr>
        <w:t>.</w:t>
      </w:r>
      <w:r w:rsidRPr="00E53FC8">
        <w:rPr>
          <w:rFonts w:cstheme="minorHAnsi"/>
          <w:b/>
          <w:bCs/>
          <w:sz w:val="22"/>
          <w:szCs w:val="22"/>
        </w:rPr>
        <w:br/>
      </w:r>
      <w:r w:rsidRPr="00E53FC8">
        <w:rPr>
          <w:rFonts w:cstheme="minorHAnsi"/>
          <w:b/>
          <w:bCs/>
          <w:sz w:val="22"/>
          <w:szCs w:val="22"/>
          <w:rtl/>
        </w:rPr>
        <w:t>بیان قاعده ای اصولی</w:t>
      </w:r>
      <w:r w:rsidRPr="00E53FC8">
        <w:rPr>
          <w:rFonts w:cstheme="minorHAnsi"/>
          <w:b/>
          <w:bCs/>
          <w:sz w:val="22"/>
          <w:szCs w:val="22"/>
        </w:rPr>
        <w:br/>
      </w:r>
      <w:r w:rsidRPr="00E53FC8">
        <w:rPr>
          <w:rFonts w:cstheme="minorHAnsi"/>
          <w:b/>
          <w:bCs/>
          <w:sz w:val="22"/>
          <w:szCs w:val="22"/>
          <w:rtl/>
        </w:rPr>
        <w:t>مطلب دیگر که بیان آن مفید است آن است که چرا ما دو روایت را از باب موید و نه مقید آوردیم. بعضی از روایات از باب قرینه بودن برای بعض دیگر همچون آیات قرآن می باشد. اما بنابر قاعده اصولی نمی توان گفت در روایات فوق حمل مطلق بر مقید به این معنا که روایت خالی از قید، مطلق و روایت اسحاق بن عمار و ابی البختری مقید آن باشند. زیرا این دو دسته روایت مثبتین یکدیگر و حکم متعدد است و در این مقام نمی شود یک دسته را مقید دسته دیگر قرار داد. اما در جایی که دو دسته روایت مثبتین باشند ولی حکم یکی باشد همچون «اعتق رقبه» و «اعتق رقبه المومنه» و یا آنجا که دو دسته روایت مثبتین نباشند، حمل مطلق بر مقید اشکالی نخواهد داشت</w:t>
      </w:r>
      <w:r w:rsidRPr="00E53FC8">
        <w:rPr>
          <w:rFonts w:cstheme="minorHAnsi"/>
          <w:b/>
          <w:bCs/>
          <w:sz w:val="22"/>
          <w:szCs w:val="22"/>
        </w:rPr>
        <w:t>.</w:t>
      </w:r>
      <w:r w:rsidRPr="00E53FC8">
        <w:rPr>
          <w:rFonts w:cstheme="minorHAnsi"/>
          <w:b/>
          <w:bCs/>
          <w:sz w:val="22"/>
          <w:szCs w:val="22"/>
        </w:rPr>
        <w:br/>
      </w:r>
      <w:r w:rsidRPr="00E53FC8">
        <w:rPr>
          <w:rFonts w:cstheme="minorHAnsi"/>
          <w:b/>
          <w:bCs/>
          <w:sz w:val="22"/>
          <w:szCs w:val="22"/>
          <w:rtl/>
        </w:rPr>
        <w:t>بنا بر این قاعده اصولی در محل بحث کاربرد ندارد و باید گفت: با توجه به این روایات طبع و وجدان حکم به موید بودن دسته دوم روایات می کنند</w:t>
      </w:r>
      <w:r w:rsidRPr="00E53FC8">
        <w:rPr>
          <w:rFonts w:cstheme="minorHAnsi"/>
          <w:b/>
          <w:bCs/>
          <w:sz w:val="22"/>
          <w:szCs w:val="22"/>
        </w:rPr>
        <w:t>.</w:t>
      </w:r>
    </w:p>
    <w:p w14:paraId="7D6D4E4A" w14:textId="77777777" w:rsidR="00E53FC8" w:rsidRPr="00E53FC8" w:rsidRDefault="00E53FC8" w:rsidP="00E53FC8">
      <w:pPr>
        <w:jc w:val="right"/>
      </w:pPr>
    </w:p>
    <w:p w14:paraId="65615FE5" w14:textId="77777777" w:rsidR="00E53FC8" w:rsidRPr="00E53FC8" w:rsidRDefault="00E53FC8" w:rsidP="00E53FC8">
      <w:pPr>
        <w:jc w:val="right"/>
      </w:pPr>
      <w:r w:rsidRPr="00E53FC8">
        <w:pict w14:anchorId="5B3574DF">
          <v:rect id="_x0000_i1031" style="width:0;height:1.5pt" o:hralign="center" o:hrstd="t" o:hr="t" fillcolor="#a0a0a0" stroked="f"/>
        </w:pict>
      </w:r>
    </w:p>
    <w:bookmarkStart w:id="3" w:name="_ftn1"/>
    <w:p w14:paraId="63A8CD80" w14:textId="77777777" w:rsidR="00E53FC8" w:rsidRPr="00E53FC8" w:rsidRDefault="00E53FC8" w:rsidP="00E53FC8">
      <w:pPr>
        <w:jc w:val="right"/>
      </w:pPr>
      <w:r w:rsidRPr="00E53FC8">
        <w:fldChar w:fldCharType="begin"/>
      </w:r>
      <w:r w:rsidRPr="00E53FC8">
        <w:instrText>HYPERLINK "https://eshia.ir/feqh/archive/text/jazayeri/feqh/93/940117/" \l "_ftnref1" \o ""</w:instrText>
      </w:r>
      <w:r w:rsidRPr="00E53FC8">
        <w:fldChar w:fldCharType="separate"/>
      </w:r>
      <w:r w:rsidRPr="00E53FC8">
        <w:rPr>
          <w:rStyle w:val="Hyperlink"/>
        </w:rPr>
        <w:t>[1]</w:t>
      </w:r>
      <w:r w:rsidRPr="00E53FC8">
        <w:fldChar w:fldCharType="end"/>
      </w:r>
      <w:bookmarkEnd w:id="3"/>
      <w:r w:rsidRPr="00E53FC8">
        <w:t> </w:t>
      </w:r>
      <w:hyperlink r:id="rId4" w:tgtFrame="_blank" w:history="1">
        <w:r w:rsidRPr="00E53FC8">
          <w:rPr>
            <w:rStyle w:val="Hyperlink"/>
            <w:rtl/>
          </w:rPr>
          <w:t>وسائل الشیعه، شیخ حر عاملی، ج 29، ص 400، أبواب العاقله، باب11، شماره 35859، ح2،ط آل البیت</w:t>
        </w:r>
        <w:r w:rsidRPr="00E53FC8">
          <w:rPr>
            <w:rStyle w:val="Hyperlink"/>
          </w:rPr>
          <w:t>.</w:t>
        </w:r>
      </w:hyperlink>
    </w:p>
    <w:bookmarkStart w:id="4" w:name="_ftn2"/>
    <w:p w14:paraId="5DE08442" w14:textId="77777777" w:rsidR="00E53FC8" w:rsidRPr="00E53FC8" w:rsidRDefault="00E53FC8" w:rsidP="00E53FC8">
      <w:pPr>
        <w:jc w:val="right"/>
      </w:pPr>
      <w:r w:rsidRPr="00E53FC8">
        <w:fldChar w:fldCharType="begin"/>
      </w:r>
      <w:r w:rsidRPr="00E53FC8">
        <w:instrText>HYPERLINK "https://eshia.ir/feqh/archive/text/jazayeri/feqh/93/940117/" \l "_ftnref2" \o ""</w:instrText>
      </w:r>
      <w:r w:rsidRPr="00E53FC8">
        <w:fldChar w:fldCharType="separate"/>
      </w:r>
      <w:r w:rsidRPr="00E53FC8">
        <w:rPr>
          <w:rStyle w:val="Hyperlink"/>
        </w:rPr>
        <w:t>[2]</w:t>
      </w:r>
      <w:r w:rsidRPr="00E53FC8">
        <w:fldChar w:fldCharType="end"/>
      </w:r>
      <w:bookmarkEnd w:id="4"/>
      <w:r w:rsidRPr="00E53FC8">
        <w:t> </w:t>
      </w:r>
      <w:hyperlink r:id="rId5" w:tgtFrame="_blank" w:history="1">
        <w:r w:rsidRPr="00E53FC8">
          <w:rPr>
            <w:rStyle w:val="Hyperlink"/>
            <w:rtl/>
          </w:rPr>
          <w:t>وسائل الشیعه، شیخ حر عاملی، ج 29، ص 400، أبواب العاقله، باب11، شماره 35860، ح3،ط آل البیت</w:t>
        </w:r>
        <w:r w:rsidRPr="00E53FC8">
          <w:rPr>
            <w:rStyle w:val="Hyperlink"/>
          </w:rPr>
          <w:t>.</w:t>
        </w:r>
      </w:hyperlink>
    </w:p>
    <w:bookmarkStart w:id="5" w:name="_ftn3"/>
    <w:p w14:paraId="093ED33D" w14:textId="77777777" w:rsidR="00E53FC8" w:rsidRPr="00E53FC8" w:rsidRDefault="00E53FC8" w:rsidP="00E53FC8">
      <w:pPr>
        <w:jc w:val="right"/>
      </w:pPr>
      <w:r w:rsidRPr="00E53FC8">
        <w:fldChar w:fldCharType="begin"/>
      </w:r>
      <w:r w:rsidRPr="00E53FC8">
        <w:instrText>HYPERLINK "https://eshia.ir/feqh/archive/text/jazayeri/feqh/93/940117/" \l "_ftnref3" \o ""</w:instrText>
      </w:r>
      <w:r w:rsidRPr="00E53FC8">
        <w:fldChar w:fldCharType="separate"/>
      </w:r>
      <w:r w:rsidRPr="00E53FC8">
        <w:rPr>
          <w:rStyle w:val="Hyperlink"/>
        </w:rPr>
        <w:t>[3]</w:t>
      </w:r>
      <w:r w:rsidRPr="00E53FC8">
        <w:fldChar w:fldCharType="end"/>
      </w:r>
      <w:bookmarkEnd w:id="5"/>
      <w:r w:rsidRPr="00E53FC8">
        <w:t> </w:t>
      </w:r>
      <w:hyperlink r:id="rId6" w:tgtFrame="_blank" w:history="1">
        <w:r w:rsidRPr="00E53FC8">
          <w:rPr>
            <w:rStyle w:val="Hyperlink"/>
            <w:rtl/>
          </w:rPr>
          <w:t>وسائل الشیعه، شیخ حر عاملی، ج 29، ص 91، أبواب القصاص فی النفس، باب36، شماره 35225، ح2،ط آل البیت</w:t>
        </w:r>
      </w:hyperlink>
    </w:p>
    <w:p w14:paraId="0FC41F32" w14:textId="77777777" w:rsidR="00E404DB" w:rsidRDefault="00E404DB" w:rsidP="00E53FC8">
      <w:pPr>
        <w:jc w:val="right"/>
      </w:pPr>
    </w:p>
    <w:sectPr w:rsidR="00E404D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hangVariable UltraBold">
    <w:panose1 w:val="00000500000000000000"/>
    <w:charset w:val="00"/>
    <w:family w:val="auto"/>
    <w:pitch w:val="variable"/>
    <w:sig w:usb0="00002003" w:usb1="00000001" w:usb2="00000008" w:usb3="00000000" w:csb0="0000004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3E5D"/>
    <w:rsid w:val="00005F60"/>
    <w:rsid w:val="00963D73"/>
    <w:rsid w:val="00DD28CC"/>
    <w:rsid w:val="00E404DB"/>
    <w:rsid w:val="00E53FC8"/>
    <w:rsid w:val="00EC3E5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995971"/>
  <w15:chartTrackingRefBased/>
  <w15:docId w15:val="{B73BF519-3230-4709-8B5E-41EE228C13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C3E5D"/>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EC3E5D"/>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EC3E5D"/>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EC3E5D"/>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EC3E5D"/>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EC3E5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C3E5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C3E5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C3E5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C3E5D"/>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EC3E5D"/>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EC3E5D"/>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EC3E5D"/>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EC3E5D"/>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EC3E5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C3E5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C3E5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C3E5D"/>
    <w:rPr>
      <w:rFonts w:eastAsiaTheme="majorEastAsia" w:cstheme="majorBidi"/>
      <w:color w:val="272727" w:themeColor="text1" w:themeTint="D8"/>
    </w:rPr>
  </w:style>
  <w:style w:type="paragraph" w:styleId="Title">
    <w:name w:val="Title"/>
    <w:basedOn w:val="Normal"/>
    <w:next w:val="Normal"/>
    <w:link w:val="TitleChar"/>
    <w:uiPriority w:val="10"/>
    <w:qFormat/>
    <w:rsid w:val="00EC3E5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C3E5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C3E5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C3E5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C3E5D"/>
    <w:pPr>
      <w:spacing w:before="160"/>
      <w:jc w:val="center"/>
    </w:pPr>
    <w:rPr>
      <w:i/>
      <w:iCs/>
      <w:color w:val="404040" w:themeColor="text1" w:themeTint="BF"/>
    </w:rPr>
  </w:style>
  <w:style w:type="character" w:customStyle="1" w:styleId="QuoteChar">
    <w:name w:val="Quote Char"/>
    <w:basedOn w:val="DefaultParagraphFont"/>
    <w:link w:val="Quote"/>
    <w:uiPriority w:val="29"/>
    <w:rsid w:val="00EC3E5D"/>
    <w:rPr>
      <w:i/>
      <w:iCs/>
      <w:color w:val="404040" w:themeColor="text1" w:themeTint="BF"/>
    </w:rPr>
  </w:style>
  <w:style w:type="paragraph" w:styleId="ListParagraph">
    <w:name w:val="List Paragraph"/>
    <w:basedOn w:val="Normal"/>
    <w:uiPriority w:val="34"/>
    <w:qFormat/>
    <w:rsid w:val="00EC3E5D"/>
    <w:pPr>
      <w:ind w:left="720"/>
      <w:contextualSpacing/>
    </w:pPr>
  </w:style>
  <w:style w:type="character" w:styleId="IntenseEmphasis">
    <w:name w:val="Intense Emphasis"/>
    <w:basedOn w:val="DefaultParagraphFont"/>
    <w:uiPriority w:val="21"/>
    <w:qFormat/>
    <w:rsid w:val="00EC3E5D"/>
    <w:rPr>
      <w:i/>
      <w:iCs/>
      <w:color w:val="2F5496" w:themeColor="accent1" w:themeShade="BF"/>
    </w:rPr>
  </w:style>
  <w:style w:type="paragraph" w:styleId="IntenseQuote">
    <w:name w:val="Intense Quote"/>
    <w:basedOn w:val="Normal"/>
    <w:next w:val="Normal"/>
    <w:link w:val="IntenseQuoteChar"/>
    <w:uiPriority w:val="30"/>
    <w:qFormat/>
    <w:rsid w:val="00EC3E5D"/>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EC3E5D"/>
    <w:rPr>
      <w:i/>
      <w:iCs/>
      <w:color w:val="2F5496" w:themeColor="accent1" w:themeShade="BF"/>
    </w:rPr>
  </w:style>
  <w:style w:type="character" w:styleId="IntenseReference">
    <w:name w:val="Intense Reference"/>
    <w:basedOn w:val="DefaultParagraphFont"/>
    <w:uiPriority w:val="32"/>
    <w:qFormat/>
    <w:rsid w:val="00EC3E5D"/>
    <w:rPr>
      <w:b/>
      <w:bCs/>
      <w:smallCaps/>
      <w:color w:val="2F5496" w:themeColor="accent1" w:themeShade="BF"/>
      <w:spacing w:val="5"/>
    </w:rPr>
  </w:style>
  <w:style w:type="character" w:styleId="Hyperlink">
    <w:name w:val="Hyperlink"/>
    <w:basedOn w:val="DefaultParagraphFont"/>
    <w:uiPriority w:val="99"/>
    <w:unhideWhenUsed/>
    <w:rsid w:val="00E53FC8"/>
    <w:rPr>
      <w:color w:val="0563C1" w:themeColor="hyperlink"/>
      <w:u w:val="single"/>
    </w:rPr>
  </w:style>
  <w:style w:type="character" w:styleId="UnresolvedMention">
    <w:name w:val="Unresolved Mention"/>
    <w:basedOn w:val="DefaultParagraphFont"/>
    <w:uiPriority w:val="99"/>
    <w:semiHidden/>
    <w:unhideWhenUsed/>
    <w:rsid w:val="00E53FC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lib.eshia.ir/11025/29/90/%D8%A7%D9%84%D8%A8%D8%AE%D8%AA%D8%B1%DB%8C" TargetMode="External"/><Relationship Id="rId5" Type="http://schemas.openxmlformats.org/officeDocument/2006/relationships/hyperlink" Target="http://lib.eshia.ir/11025/29/400/%D8%A7%D9%84%D8%B5%D8%A8%DB%8C%D8%A7%D9%86" TargetMode="External"/><Relationship Id="rId4" Type="http://schemas.openxmlformats.org/officeDocument/2006/relationships/hyperlink" Target="http://lib.eshia.ir/11025/29/400/%D8%B9%D8%A8%D8%AF%D8%A7%D9%84%D9%84%D9%8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1053</Words>
  <Characters>6006</Characters>
  <Application>Microsoft Office Word</Application>
  <DocSecurity>0</DocSecurity>
  <Lines>50</Lines>
  <Paragraphs>14</Paragraphs>
  <ScaleCrop>false</ScaleCrop>
  <Company/>
  <LinksUpToDate>false</LinksUpToDate>
  <CharactersWithSpaces>7045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mohammad s</dc:creator>
  <cp:keywords/>
  <dc:description/>
  <cp:lastModifiedBy>mohammad s</cp:lastModifiedBy>
  <cp:revision>2</cp:revision>
  <dcterms:created xsi:type="dcterms:W3CDTF">2025-11-26T22:36:00Z</dcterms:created>
  <dcterms:modified xsi:type="dcterms:W3CDTF">2025-11-26T22:37:00Z</dcterms:modified>
</cp:coreProperties>
</file>