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652DB" w14:textId="77777777" w:rsidR="009F495F" w:rsidRPr="009F495F" w:rsidRDefault="009F495F" w:rsidP="009F495F">
      <w:pPr>
        <w:jc w:val="center"/>
        <w:rPr>
          <w:rFonts w:ascii="AhangVariable UltraBold" w:hAnsi="AhangVariable UltraBold" w:cs="AhangVariable UltraBold"/>
          <w:u w:val="single"/>
        </w:rPr>
      </w:pPr>
      <w:r w:rsidRPr="009F495F">
        <w:rPr>
          <w:rFonts w:ascii="AhangVariable UltraBold" w:hAnsi="AhangVariable UltraBold" w:cs="AhangVariable UltraBold"/>
          <w:u w:val="single"/>
          <w:rtl/>
        </w:rPr>
        <w:t>موضوع </w:t>
      </w:r>
      <w:r w:rsidRPr="009F495F">
        <w:rPr>
          <w:rFonts w:ascii="AhangVariable UltraBold" w:hAnsi="AhangVariable UltraBold" w:cs="AhangVariable UltraBold"/>
          <w:u w:val="single"/>
        </w:rPr>
        <w:t>: </w:t>
      </w:r>
      <w:r w:rsidRPr="009F495F">
        <w:rPr>
          <w:rFonts w:ascii="AhangVariable UltraBold" w:hAnsi="AhangVariable UltraBold" w:cs="AhangVariable UltraBold"/>
          <w:u w:val="single"/>
          <w:rtl/>
        </w:rPr>
        <w:t>بانکداری اسلامی / عقود بانکی / اجاره / شروط متعاقدین/ بررسی شرطیت بلوغ متعاقدین</w:t>
      </w:r>
    </w:p>
    <w:p w14:paraId="356E22E8" w14:textId="757F9F7C" w:rsidR="009F495F" w:rsidRPr="009F495F" w:rsidRDefault="009F495F" w:rsidP="009F495F">
      <w:pPr>
        <w:jc w:val="right"/>
        <w:rPr>
          <w:rFonts w:cstheme="minorHAnsi"/>
          <w:b/>
          <w:bCs/>
          <w:sz w:val="22"/>
          <w:szCs w:val="22"/>
        </w:rPr>
      </w:pPr>
      <w:r w:rsidRPr="009F495F">
        <w:rPr>
          <w:rFonts w:cstheme="minorHAnsi"/>
          <w:b/>
          <w:bCs/>
          <w:sz w:val="22"/>
          <w:szCs w:val="22"/>
        </w:rPr>
        <w:br/>
      </w:r>
      <w:r w:rsidRPr="009F495F">
        <w:rPr>
          <w:rFonts w:cstheme="minorHAnsi"/>
          <w:b/>
          <w:bCs/>
          <w:sz w:val="22"/>
          <w:szCs w:val="22"/>
          <w:rtl/>
        </w:rPr>
        <w:t>مطلب در حقیقت بلوغ بود. خلاصه کلام صاحب جواهر که دیروز قرائت کردیم این شد که بلوغ فی حد نفسه امری تکوینی است و معنایی تکوینی دارد ظاهرا این عبارت تنها نظر ایشان نبوده و مختار قوم است، شارع نیز برای موارد شک امارات وعلائمی تعبدی را بر آن واقع وضع نموده. بنابراین اگر نشانه های تکوینی رویت شدند، نیازی به امارات تعبدی نخواهد بود. اما اگر شک عارض شد یا امارات تکوینی ظاهر نشدند، واجب خواهد شد که به امارات تعبدی عمل شود</w:t>
      </w:r>
      <w:r w:rsidRPr="009F495F">
        <w:rPr>
          <w:rFonts w:cstheme="minorHAnsi"/>
          <w:b/>
          <w:bCs/>
          <w:sz w:val="22"/>
          <w:szCs w:val="22"/>
        </w:rPr>
        <w:t>.</w:t>
      </w:r>
      <w:r w:rsidRPr="009F495F">
        <w:rPr>
          <w:rFonts w:cstheme="minorHAnsi"/>
          <w:b/>
          <w:bCs/>
          <w:sz w:val="22"/>
          <w:szCs w:val="22"/>
        </w:rPr>
        <w:br/>
      </w:r>
      <w:r w:rsidRPr="009F495F">
        <w:rPr>
          <w:rFonts w:cstheme="minorHAnsi"/>
          <w:b/>
          <w:bCs/>
          <w:sz w:val="22"/>
          <w:szCs w:val="22"/>
          <w:rtl/>
        </w:rPr>
        <w:t>تعابیر قرآن کریم از بلوغ</w:t>
      </w:r>
      <w:r w:rsidRPr="009F495F">
        <w:rPr>
          <w:rFonts w:cstheme="minorHAnsi"/>
          <w:b/>
          <w:bCs/>
          <w:sz w:val="22"/>
          <w:szCs w:val="22"/>
        </w:rPr>
        <w:br/>
      </w:r>
      <w:r w:rsidRPr="009F495F">
        <w:rPr>
          <w:rFonts w:cstheme="minorHAnsi"/>
          <w:b/>
          <w:bCs/>
          <w:sz w:val="22"/>
          <w:szCs w:val="22"/>
          <w:rtl/>
        </w:rPr>
        <w:t>در قرآن کریم به امر تکوینی بلوغ اشاره شده و آمده</w:t>
      </w:r>
      <w:r w:rsidRPr="009F495F">
        <w:rPr>
          <w:rFonts w:cstheme="minorHAnsi"/>
          <w:b/>
          <w:bCs/>
          <w:sz w:val="22"/>
          <w:szCs w:val="22"/>
        </w:rPr>
        <w:t xml:space="preserve"> «</w:t>
      </w:r>
      <w:r w:rsidRPr="009F495F">
        <w:rPr>
          <w:rFonts w:cstheme="minorHAnsi"/>
          <w:b/>
          <w:bCs/>
          <w:sz w:val="22"/>
          <w:szCs w:val="22"/>
          <w:rtl/>
        </w:rPr>
        <w:t>وَ إِذَا بَلَغَ الْأَطْفَالُ مِنْكُمُ الْحُلُمَ</w:t>
      </w:r>
      <w:r w:rsidRPr="009F495F">
        <w:rPr>
          <w:rFonts w:cstheme="minorHAnsi"/>
          <w:b/>
          <w:bCs/>
          <w:sz w:val="22"/>
          <w:szCs w:val="22"/>
        </w:rPr>
        <w:t>»</w:t>
      </w:r>
      <w:bookmarkStart w:id="0" w:name="_ftnref1"/>
      <w:r w:rsidRPr="009F495F">
        <w:rPr>
          <w:rFonts w:cstheme="minorHAnsi"/>
          <w:b/>
          <w:bCs/>
          <w:sz w:val="22"/>
          <w:szCs w:val="22"/>
        </w:rPr>
        <w:fldChar w:fldCharType="begin"/>
      </w:r>
      <w:r w:rsidRPr="009F495F">
        <w:rPr>
          <w:rFonts w:cstheme="minorHAnsi"/>
          <w:b/>
          <w:bCs/>
          <w:sz w:val="22"/>
          <w:szCs w:val="22"/>
        </w:rPr>
        <w:instrText>HYPERLINK "https://eshia.ir/feqh/archive/text/jazayeri/feqh/93/940122/" \l "_ftn1" \o "</w:instrText>
      </w:r>
      <w:r w:rsidRPr="009F495F">
        <w:rPr>
          <w:rFonts w:cstheme="minorHAnsi"/>
          <w:b/>
          <w:bCs/>
          <w:sz w:val="22"/>
          <w:szCs w:val="22"/>
          <w:rtl/>
        </w:rPr>
        <w:instrText>نور/سوره24، آیه59</w:instrText>
      </w:r>
      <w:r w:rsidRPr="009F495F">
        <w:rPr>
          <w:rFonts w:cstheme="minorHAnsi"/>
          <w:b/>
          <w:bCs/>
          <w:sz w:val="22"/>
          <w:szCs w:val="22"/>
        </w:rPr>
        <w:instrText>."</w:instrText>
      </w:r>
      <w:r w:rsidRPr="009F495F">
        <w:rPr>
          <w:rFonts w:cstheme="minorHAnsi"/>
          <w:b/>
          <w:bCs/>
          <w:sz w:val="22"/>
          <w:szCs w:val="22"/>
        </w:rPr>
      </w:r>
      <w:r w:rsidRPr="009F495F">
        <w:rPr>
          <w:rFonts w:cstheme="minorHAnsi"/>
          <w:b/>
          <w:bCs/>
          <w:sz w:val="22"/>
          <w:szCs w:val="22"/>
        </w:rPr>
        <w:fldChar w:fldCharType="separate"/>
      </w:r>
      <w:r w:rsidRPr="009F495F">
        <w:rPr>
          <w:rStyle w:val="Hyperlink"/>
          <w:rFonts w:cstheme="minorHAnsi"/>
          <w:b/>
          <w:bCs/>
          <w:sz w:val="22"/>
          <w:szCs w:val="22"/>
        </w:rPr>
        <w:t>[1]</w:t>
      </w:r>
      <w:r w:rsidRPr="009F495F">
        <w:rPr>
          <w:rFonts w:cstheme="minorHAnsi"/>
          <w:b/>
          <w:bCs/>
          <w:sz w:val="22"/>
          <w:szCs w:val="22"/>
        </w:rPr>
        <w:fldChar w:fldCharType="end"/>
      </w:r>
      <w:bookmarkEnd w:id="0"/>
      <w:r w:rsidRPr="009F495F">
        <w:rPr>
          <w:rFonts w:cstheme="minorHAnsi"/>
          <w:b/>
          <w:bCs/>
          <w:sz w:val="22"/>
          <w:szCs w:val="22"/>
        </w:rPr>
        <w:t> </w:t>
      </w:r>
      <w:r w:rsidRPr="009F495F">
        <w:rPr>
          <w:rFonts w:cstheme="minorHAnsi"/>
          <w:b/>
          <w:bCs/>
          <w:sz w:val="22"/>
          <w:szCs w:val="22"/>
          <w:rtl/>
        </w:rPr>
        <w:t>مراد از حلم دیدن رویا در خواب است و در اینجا اصطلاح به صورت کنایی و به معنای خروج منی در خواب آمده. گاهی نیز از آن تعبیر به بلوغ نکاح شده</w:t>
      </w:r>
      <w:r w:rsidRPr="009F495F">
        <w:rPr>
          <w:rFonts w:cstheme="minorHAnsi"/>
          <w:b/>
          <w:bCs/>
          <w:sz w:val="22"/>
          <w:szCs w:val="22"/>
        </w:rPr>
        <w:t xml:space="preserve"> «</w:t>
      </w:r>
      <w:r w:rsidRPr="009F495F">
        <w:rPr>
          <w:rFonts w:cstheme="minorHAnsi"/>
          <w:b/>
          <w:bCs/>
          <w:sz w:val="22"/>
          <w:szCs w:val="22"/>
          <w:rtl/>
        </w:rPr>
        <w:t>وَ ابْتَلُوا الْيَتَامَى حَتَّى إِذَا بَلَغُوا النِّكَاحَ </w:t>
      </w:r>
      <w:r w:rsidRPr="009F495F">
        <w:rPr>
          <w:rFonts w:cstheme="minorHAnsi"/>
          <w:b/>
          <w:bCs/>
          <w:sz w:val="22"/>
          <w:szCs w:val="22"/>
        </w:rPr>
        <w:t>»</w:t>
      </w:r>
      <w:bookmarkStart w:id="1" w:name="_ftnref2"/>
      <w:r w:rsidRPr="009F495F">
        <w:rPr>
          <w:rFonts w:cstheme="minorHAnsi"/>
          <w:b/>
          <w:bCs/>
          <w:sz w:val="22"/>
          <w:szCs w:val="22"/>
        </w:rPr>
        <w:fldChar w:fldCharType="begin"/>
      </w:r>
      <w:r w:rsidRPr="009F495F">
        <w:rPr>
          <w:rFonts w:cstheme="minorHAnsi"/>
          <w:b/>
          <w:bCs/>
          <w:sz w:val="22"/>
          <w:szCs w:val="22"/>
        </w:rPr>
        <w:instrText>HYPERLINK "https://eshia.ir/feqh/archive/text/jazayeri/feqh/93/940122/" \l "_ftn2" \o "</w:instrText>
      </w:r>
      <w:r w:rsidRPr="009F495F">
        <w:rPr>
          <w:rFonts w:cstheme="minorHAnsi"/>
          <w:b/>
          <w:bCs/>
          <w:sz w:val="22"/>
          <w:szCs w:val="22"/>
          <w:rtl/>
        </w:rPr>
        <w:instrText>نساء/سوره4، آیه6</w:instrText>
      </w:r>
      <w:r w:rsidRPr="009F495F">
        <w:rPr>
          <w:rFonts w:cstheme="minorHAnsi"/>
          <w:b/>
          <w:bCs/>
          <w:sz w:val="22"/>
          <w:szCs w:val="22"/>
        </w:rPr>
        <w:instrText>."</w:instrText>
      </w:r>
      <w:r w:rsidRPr="009F495F">
        <w:rPr>
          <w:rFonts w:cstheme="minorHAnsi"/>
          <w:b/>
          <w:bCs/>
          <w:sz w:val="22"/>
          <w:szCs w:val="22"/>
        </w:rPr>
      </w:r>
      <w:r w:rsidRPr="009F495F">
        <w:rPr>
          <w:rFonts w:cstheme="minorHAnsi"/>
          <w:b/>
          <w:bCs/>
          <w:sz w:val="22"/>
          <w:szCs w:val="22"/>
        </w:rPr>
        <w:fldChar w:fldCharType="separate"/>
      </w:r>
      <w:r w:rsidRPr="009F495F">
        <w:rPr>
          <w:rStyle w:val="Hyperlink"/>
          <w:rFonts w:cstheme="minorHAnsi"/>
          <w:b/>
          <w:bCs/>
          <w:sz w:val="22"/>
          <w:szCs w:val="22"/>
        </w:rPr>
        <w:t>[2]</w:t>
      </w:r>
      <w:r w:rsidRPr="009F495F">
        <w:rPr>
          <w:rFonts w:cstheme="minorHAnsi"/>
          <w:b/>
          <w:bCs/>
          <w:sz w:val="22"/>
          <w:szCs w:val="22"/>
        </w:rPr>
        <w:fldChar w:fldCharType="end"/>
      </w:r>
      <w:bookmarkEnd w:id="1"/>
      <w:r w:rsidRPr="009F495F">
        <w:rPr>
          <w:rFonts w:cstheme="minorHAnsi"/>
          <w:b/>
          <w:bCs/>
          <w:sz w:val="22"/>
          <w:szCs w:val="22"/>
        </w:rPr>
        <w:t> </w:t>
      </w:r>
      <w:r w:rsidRPr="009F495F">
        <w:rPr>
          <w:rFonts w:cstheme="minorHAnsi"/>
          <w:b/>
          <w:bCs/>
          <w:sz w:val="22"/>
          <w:szCs w:val="22"/>
          <w:rtl/>
        </w:rPr>
        <w:t>که به معنای مرحله ای است که در آن نیاز به ازدواج احساس می شود. در جای دیگر نیز تعبیر</w:t>
      </w:r>
      <w:r w:rsidRPr="009F495F">
        <w:rPr>
          <w:rFonts w:cstheme="minorHAnsi"/>
          <w:b/>
          <w:bCs/>
          <w:sz w:val="22"/>
          <w:szCs w:val="22"/>
        </w:rPr>
        <w:t>«</w:t>
      </w:r>
      <w:r w:rsidRPr="009F495F">
        <w:rPr>
          <w:rFonts w:cstheme="minorHAnsi"/>
          <w:b/>
          <w:bCs/>
          <w:sz w:val="22"/>
          <w:szCs w:val="22"/>
          <w:rtl/>
        </w:rPr>
        <w:t>حَتَّى يَبْلُغَ أَشُدَّهُ </w:t>
      </w:r>
      <w:r w:rsidRPr="009F495F">
        <w:rPr>
          <w:rFonts w:cstheme="minorHAnsi"/>
          <w:b/>
          <w:bCs/>
          <w:sz w:val="22"/>
          <w:szCs w:val="22"/>
        </w:rPr>
        <w:t>»</w:t>
      </w:r>
      <w:bookmarkStart w:id="2" w:name="_ftnref3"/>
      <w:r w:rsidRPr="009F495F">
        <w:rPr>
          <w:rFonts w:cstheme="minorHAnsi"/>
          <w:b/>
          <w:bCs/>
          <w:sz w:val="22"/>
          <w:szCs w:val="22"/>
        </w:rPr>
        <w:fldChar w:fldCharType="begin"/>
      </w:r>
      <w:r w:rsidRPr="009F495F">
        <w:rPr>
          <w:rFonts w:cstheme="minorHAnsi"/>
          <w:b/>
          <w:bCs/>
          <w:sz w:val="22"/>
          <w:szCs w:val="22"/>
        </w:rPr>
        <w:instrText>HYPERLINK "https://eshia.ir/feqh/archive/text/jazayeri/feqh/93/940122/" \l "_ftn3" \o "</w:instrText>
      </w:r>
      <w:r w:rsidRPr="009F495F">
        <w:rPr>
          <w:rFonts w:cstheme="minorHAnsi"/>
          <w:b/>
          <w:bCs/>
          <w:sz w:val="22"/>
          <w:szCs w:val="22"/>
          <w:rtl/>
        </w:rPr>
        <w:instrText>انعام/سوره6، آیه152</w:instrText>
      </w:r>
      <w:r w:rsidRPr="009F495F">
        <w:rPr>
          <w:rFonts w:cstheme="minorHAnsi"/>
          <w:b/>
          <w:bCs/>
          <w:sz w:val="22"/>
          <w:szCs w:val="22"/>
        </w:rPr>
        <w:instrText>."</w:instrText>
      </w:r>
      <w:r w:rsidRPr="009F495F">
        <w:rPr>
          <w:rFonts w:cstheme="minorHAnsi"/>
          <w:b/>
          <w:bCs/>
          <w:sz w:val="22"/>
          <w:szCs w:val="22"/>
        </w:rPr>
      </w:r>
      <w:r w:rsidRPr="009F495F">
        <w:rPr>
          <w:rFonts w:cstheme="minorHAnsi"/>
          <w:b/>
          <w:bCs/>
          <w:sz w:val="22"/>
          <w:szCs w:val="22"/>
        </w:rPr>
        <w:fldChar w:fldCharType="separate"/>
      </w:r>
      <w:r w:rsidRPr="009F495F">
        <w:rPr>
          <w:rStyle w:val="Hyperlink"/>
          <w:rFonts w:cstheme="minorHAnsi"/>
          <w:b/>
          <w:bCs/>
          <w:sz w:val="22"/>
          <w:szCs w:val="22"/>
        </w:rPr>
        <w:t>[3]</w:t>
      </w:r>
      <w:r w:rsidRPr="009F495F">
        <w:rPr>
          <w:rFonts w:cstheme="minorHAnsi"/>
          <w:b/>
          <w:bCs/>
          <w:sz w:val="22"/>
          <w:szCs w:val="22"/>
        </w:rPr>
        <w:fldChar w:fldCharType="end"/>
      </w:r>
      <w:bookmarkEnd w:id="2"/>
      <w:r w:rsidRPr="009F495F">
        <w:rPr>
          <w:rFonts w:cstheme="minorHAnsi"/>
          <w:b/>
          <w:bCs/>
          <w:sz w:val="22"/>
          <w:szCs w:val="22"/>
        </w:rPr>
        <w:t> </w:t>
      </w:r>
      <w:r w:rsidRPr="009F495F">
        <w:rPr>
          <w:rFonts w:cstheme="minorHAnsi"/>
          <w:b/>
          <w:bCs/>
          <w:sz w:val="22"/>
          <w:szCs w:val="22"/>
          <w:rtl/>
        </w:rPr>
        <w:t>آمده، مراد از این تعبیر نیز استحکام قوا و رشد بدن و بلند شدن قامت است. مراد از همه این موارد یک چیز یعنی تغییر تکوینی جسم که خروج از حد صباوت و داخل شدن به مردانگی است، می باشد؛ از لوازم آن نیز تکون منی در باطن مردان و حیض در زنان و تحریک شهوت می باشد</w:t>
      </w:r>
      <w:r w:rsidRPr="009F495F">
        <w:rPr>
          <w:rFonts w:cstheme="minorHAnsi"/>
          <w:b/>
          <w:bCs/>
          <w:sz w:val="22"/>
          <w:szCs w:val="22"/>
        </w:rPr>
        <w:t>.</w:t>
      </w:r>
      <w:r w:rsidRPr="009F495F">
        <w:rPr>
          <w:rFonts w:cstheme="minorHAnsi"/>
          <w:b/>
          <w:bCs/>
          <w:sz w:val="22"/>
          <w:szCs w:val="22"/>
        </w:rPr>
        <w:br/>
      </w:r>
      <w:r w:rsidRPr="009F495F">
        <w:rPr>
          <w:rFonts w:cstheme="minorHAnsi"/>
          <w:b/>
          <w:bCs/>
          <w:sz w:val="22"/>
          <w:szCs w:val="22"/>
          <w:rtl/>
        </w:rPr>
        <w:t>علائم بلوغ</w:t>
      </w:r>
      <w:r w:rsidRPr="009F495F">
        <w:rPr>
          <w:rFonts w:cstheme="minorHAnsi"/>
          <w:b/>
          <w:bCs/>
          <w:sz w:val="22"/>
          <w:szCs w:val="22"/>
        </w:rPr>
        <w:br/>
      </w:r>
      <w:r w:rsidRPr="009F495F">
        <w:rPr>
          <w:rFonts w:cstheme="minorHAnsi"/>
          <w:b/>
          <w:bCs/>
          <w:sz w:val="22"/>
          <w:szCs w:val="22"/>
          <w:rtl/>
        </w:rPr>
        <w:t>سن</w:t>
      </w:r>
      <w:r w:rsidRPr="009F495F">
        <w:rPr>
          <w:rFonts w:cstheme="minorHAnsi"/>
          <w:b/>
          <w:bCs/>
          <w:sz w:val="22"/>
          <w:szCs w:val="22"/>
        </w:rPr>
        <w:t>: </w:t>
      </w:r>
      <w:r w:rsidRPr="009F495F">
        <w:rPr>
          <w:rFonts w:cstheme="minorHAnsi"/>
          <w:b/>
          <w:bCs/>
          <w:sz w:val="22"/>
          <w:szCs w:val="22"/>
          <w:rtl/>
        </w:rPr>
        <w:t>یکی از علامت بلوغ، سن است که از آن تعبیر به بلوغ شرعی و تعبدی می شود و در صورت عدم بروز علائم فوق، نشانه بلوغ خواهد بود. این علامت در مردان اتمام پانزده سال و داخل شدن در سال شانزدهم عمر و در زنان اتمام نه سالگی است. اما مطلب در علامیت سن بسیار است؛ چرا که روایات مختلفی در مورد آن وارد شده که باید بین آنها جمع نمود</w:t>
      </w:r>
      <w:r w:rsidRPr="009F495F">
        <w:rPr>
          <w:rFonts w:cstheme="minorHAnsi"/>
          <w:b/>
          <w:bCs/>
          <w:sz w:val="22"/>
          <w:szCs w:val="22"/>
        </w:rPr>
        <w:t>.</w:t>
      </w:r>
      <w:r w:rsidRPr="009F495F">
        <w:rPr>
          <w:rFonts w:cstheme="minorHAnsi"/>
          <w:b/>
          <w:bCs/>
          <w:sz w:val="22"/>
          <w:szCs w:val="22"/>
        </w:rPr>
        <w:br/>
      </w:r>
      <w:r w:rsidRPr="009F495F">
        <w:rPr>
          <w:rFonts w:cstheme="minorHAnsi"/>
          <w:b/>
          <w:bCs/>
          <w:sz w:val="22"/>
          <w:szCs w:val="22"/>
          <w:rtl/>
        </w:rPr>
        <w:t>خروج منی</w:t>
      </w:r>
      <w:r w:rsidRPr="009F495F">
        <w:rPr>
          <w:rFonts w:cstheme="minorHAnsi"/>
          <w:b/>
          <w:bCs/>
          <w:sz w:val="22"/>
          <w:szCs w:val="22"/>
        </w:rPr>
        <w:t>:</w:t>
      </w:r>
      <w:r w:rsidRPr="009F495F">
        <w:rPr>
          <w:rFonts w:cstheme="minorHAnsi"/>
          <w:b/>
          <w:bCs/>
          <w:sz w:val="22"/>
          <w:szCs w:val="22"/>
          <w:rtl/>
        </w:rPr>
        <w:t>گفتیم در قرآن کریم از خروج منی که نشانه بلوغ است به صورت کنایه و لفظ حُلُم آمده این تعبیر به لحاظ ادب قرآنی است همانطور که از وطی تعبیر به جماع شده که به معنای اجتماع است و همچنین غائط که به معنی مکان پست است. خروج منی در بیداری که بدون استمنای حرام نادر است از باب غلبه به خروج منی در خواب ملحق شده. مراد خروج منی، خروج بالفعل است و نه استعداد خروج منی</w:t>
      </w:r>
      <w:r w:rsidRPr="009F495F">
        <w:rPr>
          <w:rFonts w:cstheme="minorHAnsi"/>
          <w:b/>
          <w:bCs/>
          <w:sz w:val="22"/>
          <w:szCs w:val="22"/>
        </w:rPr>
        <w:t>.</w:t>
      </w:r>
      <w:r w:rsidRPr="009F495F">
        <w:rPr>
          <w:rFonts w:cstheme="minorHAnsi"/>
          <w:b/>
          <w:bCs/>
          <w:sz w:val="22"/>
          <w:szCs w:val="22"/>
        </w:rPr>
        <w:br/>
      </w:r>
      <w:r w:rsidRPr="009F495F">
        <w:rPr>
          <w:rFonts w:cstheme="minorHAnsi"/>
          <w:b/>
          <w:bCs/>
          <w:sz w:val="22"/>
          <w:szCs w:val="22"/>
          <w:rtl/>
        </w:rPr>
        <w:t>خروج منی با علائم آن در زن امری نادر و غیر معهود است و ظاهر عبارت کثیری از فقها عدم علامیت آن است، بعضی نیز قائل به ثبوت آن و بعضی دیگر بر ثبوت آن مُصِر شده اند</w:t>
      </w:r>
      <w:r w:rsidRPr="009F495F">
        <w:rPr>
          <w:rFonts w:cstheme="minorHAnsi"/>
          <w:b/>
          <w:bCs/>
          <w:sz w:val="22"/>
          <w:szCs w:val="22"/>
        </w:rPr>
        <w:t>. </w:t>
      </w:r>
      <w:r w:rsidRPr="009F495F">
        <w:rPr>
          <w:rFonts w:cstheme="minorHAnsi"/>
          <w:b/>
          <w:bCs/>
          <w:sz w:val="22"/>
          <w:szCs w:val="22"/>
          <w:rtl/>
        </w:rPr>
        <w:t>اما اقوی در نظرما همان نظر اول است که استصحاب عدم بلوغ نیز آن را تایید می کند. روایاتی که خروج منی را علامت شمرده اند نیز در مورد رجالند و ارتباطی به زنان ندارند. همچنین مقتضای تنویع علامات خروج حیض در زنان در مقابل خروج منی در مردان است</w:t>
      </w:r>
      <w:r w:rsidRPr="009F495F">
        <w:rPr>
          <w:rFonts w:cstheme="minorHAnsi"/>
          <w:b/>
          <w:bCs/>
          <w:sz w:val="22"/>
          <w:szCs w:val="22"/>
        </w:rPr>
        <w:t>.</w:t>
      </w:r>
      <w:r w:rsidRPr="009F495F">
        <w:rPr>
          <w:rFonts w:cstheme="minorHAnsi"/>
          <w:b/>
          <w:bCs/>
          <w:sz w:val="22"/>
          <w:szCs w:val="22"/>
        </w:rPr>
        <w:br/>
      </w:r>
      <w:r w:rsidRPr="009F495F">
        <w:rPr>
          <w:rFonts w:cstheme="minorHAnsi"/>
          <w:b/>
          <w:bCs/>
          <w:sz w:val="22"/>
          <w:szCs w:val="22"/>
          <w:rtl/>
        </w:rPr>
        <w:t>انبات موی خشن بر عانه</w:t>
      </w:r>
      <w:r w:rsidRPr="009F495F">
        <w:rPr>
          <w:rFonts w:cstheme="minorHAnsi"/>
          <w:b/>
          <w:bCs/>
          <w:sz w:val="22"/>
          <w:szCs w:val="22"/>
        </w:rPr>
        <w:t>:</w:t>
      </w:r>
      <w:r w:rsidRPr="009F495F">
        <w:rPr>
          <w:rFonts w:cstheme="minorHAnsi"/>
          <w:b/>
          <w:bCs/>
          <w:sz w:val="22"/>
          <w:szCs w:val="22"/>
          <w:rtl/>
        </w:rPr>
        <w:t>از دیگر علائم بلوغ انبات موی خشن بر عانه است. این علامت در روایاتی که صاحب وسائل در ابواب مقدمه عبادات در جلد اول و قبل از مباحث طهارات آورده و به تبع این روایات در فتوای فقها آمده است</w:t>
      </w:r>
      <w:r w:rsidRPr="009F495F">
        <w:rPr>
          <w:rFonts w:cstheme="minorHAnsi"/>
          <w:b/>
          <w:bCs/>
          <w:sz w:val="22"/>
          <w:szCs w:val="22"/>
        </w:rPr>
        <w:t>.</w:t>
      </w:r>
      <w:r w:rsidRPr="009F495F">
        <w:rPr>
          <w:rFonts w:cstheme="minorHAnsi"/>
          <w:b/>
          <w:bCs/>
          <w:sz w:val="22"/>
          <w:szCs w:val="22"/>
        </w:rPr>
        <w:br/>
      </w:r>
      <w:r w:rsidRPr="009F495F">
        <w:rPr>
          <w:rFonts w:cstheme="minorHAnsi"/>
          <w:b/>
          <w:bCs/>
          <w:sz w:val="22"/>
          <w:szCs w:val="22"/>
          <w:rtl/>
        </w:rPr>
        <w:t>خروج حیض</w:t>
      </w:r>
      <w:r w:rsidRPr="009F495F">
        <w:rPr>
          <w:rFonts w:cstheme="minorHAnsi"/>
          <w:b/>
          <w:bCs/>
          <w:sz w:val="22"/>
          <w:szCs w:val="22"/>
        </w:rPr>
        <w:t>:</w:t>
      </w:r>
      <w:r w:rsidRPr="009F495F">
        <w:rPr>
          <w:rFonts w:cstheme="minorHAnsi"/>
          <w:b/>
          <w:bCs/>
          <w:sz w:val="22"/>
          <w:szCs w:val="22"/>
          <w:rtl/>
        </w:rPr>
        <w:t>از دیگر علائم خروج خون حیض در زنان است و دلیل آن نصوص و عدم اختلاف فقها در آن است. بعضی فرموده اند: حیض علامت حدوث بلوغ نیست بلکه این علامت کاشف آن است که زن پیش از حیض بالغ شده</w:t>
      </w:r>
      <w:r w:rsidRPr="009F495F">
        <w:rPr>
          <w:rFonts w:cstheme="minorHAnsi"/>
          <w:b/>
          <w:bCs/>
          <w:sz w:val="22"/>
          <w:szCs w:val="22"/>
        </w:rPr>
        <w:t>.</w:t>
      </w:r>
      <w:r w:rsidRPr="009F495F">
        <w:rPr>
          <w:rFonts w:cstheme="minorHAnsi"/>
          <w:b/>
          <w:bCs/>
          <w:sz w:val="22"/>
          <w:szCs w:val="22"/>
        </w:rPr>
        <w:br/>
      </w:r>
      <w:r w:rsidRPr="009F495F">
        <w:rPr>
          <w:rFonts w:cstheme="minorHAnsi"/>
          <w:b/>
          <w:bCs/>
          <w:sz w:val="22"/>
          <w:szCs w:val="22"/>
          <w:rtl/>
        </w:rPr>
        <w:t>اشکال و جواب در علامیت حیض</w:t>
      </w:r>
      <w:r w:rsidRPr="009F495F">
        <w:rPr>
          <w:rFonts w:cstheme="minorHAnsi"/>
          <w:b/>
          <w:bCs/>
          <w:sz w:val="22"/>
          <w:szCs w:val="22"/>
        </w:rPr>
        <w:br/>
      </w:r>
      <w:r w:rsidRPr="009F495F">
        <w:rPr>
          <w:rFonts w:cstheme="minorHAnsi"/>
          <w:b/>
          <w:bCs/>
          <w:sz w:val="22"/>
          <w:szCs w:val="22"/>
          <w:rtl/>
        </w:rPr>
        <w:t>جناب سیدنا الاستاد مناقشه ای علمی در علامیت حیض نموده اند. در تعریف حیض گفته شده که خونی است که بعد از نه سالگی از باطن زن خارج می شود. این در حالی است که خود نه سالگی علامتی مستقل بر بلوغ زن است. در این صورت علامیت حیض برای بلوغ لغو خواهد بود؛ چرا که به مجرد اکمال نه سالگی، حکم به بلوغ زن می شود در این صورت مجالی برای علامیت حیض که مشروط به اکمال نه سالگی است باقی نخواهد ماند</w:t>
      </w:r>
      <w:r w:rsidRPr="009F495F">
        <w:rPr>
          <w:rFonts w:cstheme="minorHAnsi"/>
          <w:b/>
          <w:bCs/>
          <w:sz w:val="22"/>
          <w:szCs w:val="22"/>
        </w:rPr>
        <w:t>.</w:t>
      </w:r>
      <w:r w:rsidRPr="009F495F">
        <w:rPr>
          <w:rFonts w:cstheme="minorHAnsi"/>
          <w:b/>
          <w:bCs/>
          <w:sz w:val="22"/>
          <w:szCs w:val="22"/>
        </w:rPr>
        <w:br/>
      </w:r>
      <w:r w:rsidRPr="009F495F">
        <w:rPr>
          <w:rFonts w:cstheme="minorHAnsi"/>
          <w:b/>
          <w:bCs/>
          <w:sz w:val="22"/>
          <w:szCs w:val="22"/>
          <w:rtl/>
        </w:rPr>
        <w:t>لکن جواب این اشکال این است که گذاشتن بنا بر حیضیت خون متوقف بر اکمال نه سالگی نمی باشد، و به مجرد وجود علائم حیض مثل غلیظ و تیره بودن خون و خروج با گرما و شدت و دیگر اوصاف خاص که فقها ذکر نموده اند، حکم به حیضیت خون می شود. اما در صورت توقف بر گذشت نه سال از عمر زن مجالی برای علامیت حیض باقی نخواهد ماند</w:t>
      </w:r>
      <w:r w:rsidRPr="009F495F">
        <w:rPr>
          <w:rFonts w:cstheme="minorHAnsi"/>
          <w:b/>
          <w:bCs/>
          <w:sz w:val="22"/>
          <w:szCs w:val="22"/>
        </w:rPr>
        <w:t>.</w:t>
      </w:r>
      <w:r w:rsidRPr="009F495F">
        <w:rPr>
          <w:rFonts w:cstheme="minorHAnsi"/>
          <w:b/>
          <w:bCs/>
          <w:sz w:val="22"/>
          <w:szCs w:val="22"/>
        </w:rPr>
        <w:br/>
      </w:r>
      <w:r w:rsidRPr="009F495F">
        <w:rPr>
          <w:rFonts w:cstheme="minorHAnsi"/>
          <w:b/>
          <w:bCs/>
          <w:sz w:val="22"/>
          <w:szCs w:val="22"/>
          <w:rtl/>
        </w:rPr>
        <w:t>حمل</w:t>
      </w:r>
      <w:r w:rsidRPr="009F495F">
        <w:rPr>
          <w:rFonts w:cstheme="minorHAnsi"/>
          <w:b/>
          <w:bCs/>
          <w:sz w:val="22"/>
          <w:szCs w:val="22"/>
        </w:rPr>
        <w:t>:</w:t>
      </w:r>
      <w:r w:rsidRPr="009F495F">
        <w:rPr>
          <w:rFonts w:cstheme="minorHAnsi"/>
          <w:b/>
          <w:bCs/>
          <w:sz w:val="22"/>
          <w:szCs w:val="22"/>
          <w:rtl/>
        </w:rPr>
        <w:t>علامت دیگر بلوغ، حامله شدن زن است</w:t>
      </w:r>
      <w:r w:rsidRPr="009F495F">
        <w:rPr>
          <w:rFonts w:cstheme="minorHAnsi"/>
          <w:b/>
          <w:bCs/>
          <w:sz w:val="22"/>
          <w:szCs w:val="22"/>
        </w:rPr>
        <w:t>.</w:t>
      </w:r>
    </w:p>
    <w:p w14:paraId="5D3DEA68" w14:textId="77777777" w:rsidR="009F495F" w:rsidRPr="009F495F" w:rsidRDefault="009F495F" w:rsidP="009F495F">
      <w:pPr>
        <w:jc w:val="right"/>
      </w:pPr>
    </w:p>
    <w:p w14:paraId="2B56869A" w14:textId="77777777" w:rsidR="009F495F" w:rsidRPr="009F495F" w:rsidRDefault="009F495F" w:rsidP="009F495F">
      <w:pPr>
        <w:jc w:val="right"/>
      </w:pPr>
      <w:r w:rsidRPr="009F495F">
        <w:lastRenderedPageBreak/>
        <w:pict w14:anchorId="4BFFF530">
          <v:rect id="_x0000_i1031" style="width:0;height:1.5pt" o:hralign="center" o:hrstd="t" o:hr="t" fillcolor="#a0a0a0" stroked="f"/>
        </w:pict>
      </w:r>
    </w:p>
    <w:bookmarkStart w:id="3" w:name="_ftn1"/>
    <w:p w14:paraId="31768E39" w14:textId="77777777" w:rsidR="009F495F" w:rsidRPr="009F495F" w:rsidRDefault="009F495F" w:rsidP="009F495F">
      <w:pPr>
        <w:jc w:val="right"/>
      </w:pPr>
      <w:r w:rsidRPr="009F495F">
        <w:fldChar w:fldCharType="begin"/>
      </w:r>
      <w:r w:rsidRPr="009F495F">
        <w:instrText>HYPERLINK "https://eshia.ir/feqh/archive/text/jazayeri/feqh/93/940122/" \l "_ftnref1" \o ""</w:instrText>
      </w:r>
      <w:r w:rsidRPr="009F495F">
        <w:fldChar w:fldCharType="separate"/>
      </w:r>
      <w:r w:rsidRPr="009F495F">
        <w:rPr>
          <w:rStyle w:val="Hyperlink"/>
        </w:rPr>
        <w:t>[1]</w:t>
      </w:r>
      <w:r w:rsidRPr="009F495F">
        <w:fldChar w:fldCharType="end"/>
      </w:r>
      <w:bookmarkEnd w:id="3"/>
      <w:r w:rsidRPr="009F495F">
        <w:t> </w:t>
      </w:r>
      <w:hyperlink r:id="rId4" w:tgtFrame="_blank" w:tooltip="سوره شماره 24 ام نور صفحه 358" w:history="1">
        <w:r w:rsidRPr="009F495F">
          <w:rPr>
            <w:rStyle w:val="Hyperlink"/>
            <w:rtl/>
          </w:rPr>
          <w:t>نور/سوره24، آیه59</w:t>
        </w:r>
        <w:r w:rsidRPr="009F495F">
          <w:rPr>
            <w:rStyle w:val="Hyperlink"/>
          </w:rPr>
          <w:t>.</w:t>
        </w:r>
      </w:hyperlink>
    </w:p>
    <w:bookmarkStart w:id="4" w:name="_ftn2"/>
    <w:p w14:paraId="2C3AF71A" w14:textId="77777777" w:rsidR="009F495F" w:rsidRPr="009F495F" w:rsidRDefault="009F495F" w:rsidP="009F495F">
      <w:pPr>
        <w:jc w:val="right"/>
      </w:pPr>
      <w:r w:rsidRPr="009F495F">
        <w:fldChar w:fldCharType="begin"/>
      </w:r>
      <w:r w:rsidRPr="009F495F">
        <w:instrText>HYPERLINK "https://eshia.ir/feqh/archive/text/jazayeri/feqh/93/940122/" \l "_ftnref2" \o ""</w:instrText>
      </w:r>
      <w:r w:rsidRPr="009F495F">
        <w:fldChar w:fldCharType="separate"/>
      </w:r>
      <w:r w:rsidRPr="009F495F">
        <w:rPr>
          <w:rStyle w:val="Hyperlink"/>
        </w:rPr>
        <w:t>[2]</w:t>
      </w:r>
      <w:r w:rsidRPr="009F495F">
        <w:fldChar w:fldCharType="end"/>
      </w:r>
      <w:bookmarkEnd w:id="4"/>
      <w:r w:rsidRPr="009F495F">
        <w:t> </w:t>
      </w:r>
      <w:hyperlink r:id="rId5" w:tgtFrame="_blank" w:tooltip="سوره شماره 4 ام نساء صفحه 77" w:history="1">
        <w:r w:rsidRPr="009F495F">
          <w:rPr>
            <w:rStyle w:val="Hyperlink"/>
            <w:rtl/>
          </w:rPr>
          <w:t>نساء/سوره4، آیه6</w:t>
        </w:r>
        <w:r w:rsidRPr="009F495F">
          <w:rPr>
            <w:rStyle w:val="Hyperlink"/>
          </w:rPr>
          <w:t>.</w:t>
        </w:r>
      </w:hyperlink>
    </w:p>
    <w:bookmarkStart w:id="5" w:name="_ftn3"/>
    <w:p w14:paraId="6D26647A" w14:textId="77777777" w:rsidR="009F495F" w:rsidRPr="009F495F" w:rsidRDefault="009F495F" w:rsidP="009F495F">
      <w:pPr>
        <w:jc w:val="right"/>
      </w:pPr>
      <w:r w:rsidRPr="009F495F">
        <w:fldChar w:fldCharType="begin"/>
      </w:r>
      <w:r w:rsidRPr="009F495F">
        <w:instrText>HYPERLINK "https://eshia.ir/feqh/archive/text/jazayeri/feqh/93/940122/" \l "_ftnref3" \o ""</w:instrText>
      </w:r>
      <w:r w:rsidRPr="009F495F">
        <w:fldChar w:fldCharType="separate"/>
      </w:r>
      <w:r w:rsidRPr="009F495F">
        <w:rPr>
          <w:rStyle w:val="Hyperlink"/>
        </w:rPr>
        <w:t>[3]</w:t>
      </w:r>
      <w:r w:rsidRPr="009F495F">
        <w:fldChar w:fldCharType="end"/>
      </w:r>
      <w:bookmarkEnd w:id="5"/>
      <w:r w:rsidRPr="009F495F">
        <w:t> </w:t>
      </w:r>
      <w:hyperlink r:id="rId6" w:tgtFrame="_blank" w:tooltip="سوره شماره 6 ام انعام صفحه 149" w:history="1">
        <w:r w:rsidRPr="009F495F">
          <w:rPr>
            <w:rStyle w:val="Hyperlink"/>
            <w:rtl/>
          </w:rPr>
          <w:t>انعام/سوره6، آیه152</w:t>
        </w:r>
        <w:r w:rsidRPr="009F495F">
          <w:rPr>
            <w:rStyle w:val="Hyperlink"/>
          </w:rPr>
          <w:t>.</w:t>
        </w:r>
      </w:hyperlink>
    </w:p>
    <w:p w14:paraId="2768D35F" w14:textId="77777777" w:rsidR="00E404DB" w:rsidRDefault="00E404DB" w:rsidP="009F495F">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824"/>
    <w:rsid w:val="00005F60"/>
    <w:rsid w:val="002975DF"/>
    <w:rsid w:val="00803824"/>
    <w:rsid w:val="00963D73"/>
    <w:rsid w:val="009F495F"/>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D4868"/>
  <w15:chartTrackingRefBased/>
  <w15:docId w15:val="{5692AD9F-D6A2-474D-85ED-4DBB0CD53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382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0382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0382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0382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0382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038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38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38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38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382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0382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0382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0382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0382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038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38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38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3824"/>
    <w:rPr>
      <w:rFonts w:eastAsiaTheme="majorEastAsia" w:cstheme="majorBidi"/>
      <w:color w:val="272727" w:themeColor="text1" w:themeTint="D8"/>
    </w:rPr>
  </w:style>
  <w:style w:type="paragraph" w:styleId="Title">
    <w:name w:val="Title"/>
    <w:basedOn w:val="Normal"/>
    <w:next w:val="Normal"/>
    <w:link w:val="TitleChar"/>
    <w:uiPriority w:val="10"/>
    <w:qFormat/>
    <w:rsid w:val="008038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38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38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38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3824"/>
    <w:pPr>
      <w:spacing w:before="160"/>
      <w:jc w:val="center"/>
    </w:pPr>
    <w:rPr>
      <w:i/>
      <w:iCs/>
      <w:color w:val="404040" w:themeColor="text1" w:themeTint="BF"/>
    </w:rPr>
  </w:style>
  <w:style w:type="character" w:customStyle="1" w:styleId="QuoteChar">
    <w:name w:val="Quote Char"/>
    <w:basedOn w:val="DefaultParagraphFont"/>
    <w:link w:val="Quote"/>
    <w:uiPriority w:val="29"/>
    <w:rsid w:val="00803824"/>
    <w:rPr>
      <w:i/>
      <w:iCs/>
      <w:color w:val="404040" w:themeColor="text1" w:themeTint="BF"/>
    </w:rPr>
  </w:style>
  <w:style w:type="paragraph" w:styleId="ListParagraph">
    <w:name w:val="List Paragraph"/>
    <w:basedOn w:val="Normal"/>
    <w:uiPriority w:val="34"/>
    <w:qFormat/>
    <w:rsid w:val="00803824"/>
    <w:pPr>
      <w:ind w:left="720"/>
      <w:contextualSpacing/>
    </w:pPr>
  </w:style>
  <w:style w:type="character" w:styleId="IntenseEmphasis">
    <w:name w:val="Intense Emphasis"/>
    <w:basedOn w:val="DefaultParagraphFont"/>
    <w:uiPriority w:val="21"/>
    <w:qFormat/>
    <w:rsid w:val="00803824"/>
    <w:rPr>
      <w:i/>
      <w:iCs/>
      <w:color w:val="2F5496" w:themeColor="accent1" w:themeShade="BF"/>
    </w:rPr>
  </w:style>
  <w:style w:type="paragraph" w:styleId="IntenseQuote">
    <w:name w:val="Intense Quote"/>
    <w:basedOn w:val="Normal"/>
    <w:next w:val="Normal"/>
    <w:link w:val="IntenseQuoteChar"/>
    <w:uiPriority w:val="30"/>
    <w:qFormat/>
    <w:rsid w:val="0080382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03824"/>
    <w:rPr>
      <w:i/>
      <w:iCs/>
      <w:color w:val="2F5496" w:themeColor="accent1" w:themeShade="BF"/>
    </w:rPr>
  </w:style>
  <w:style w:type="character" w:styleId="IntenseReference">
    <w:name w:val="Intense Reference"/>
    <w:basedOn w:val="DefaultParagraphFont"/>
    <w:uiPriority w:val="32"/>
    <w:qFormat/>
    <w:rsid w:val="00803824"/>
    <w:rPr>
      <w:b/>
      <w:bCs/>
      <w:smallCaps/>
      <w:color w:val="2F5496" w:themeColor="accent1" w:themeShade="BF"/>
      <w:spacing w:val="5"/>
    </w:rPr>
  </w:style>
  <w:style w:type="character" w:styleId="Hyperlink">
    <w:name w:val="Hyperlink"/>
    <w:basedOn w:val="DefaultParagraphFont"/>
    <w:uiPriority w:val="99"/>
    <w:unhideWhenUsed/>
    <w:rsid w:val="009F495F"/>
    <w:rPr>
      <w:color w:val="0563C1" w:themeColor="hyperlink"/>
      <w:u w:val="single"/>
    </w:rPr>
  </w:style>
  <w:style w:type="character" w:styleId="UnresolvedMention">
    <w:name w:val="Unresolved Mention"/>
    <w:basedOn w:val="DefaultParagraphFont"/>
    <w:uiPriority w:val="99"/>
    <w:semiHidden/>
    <w:unhideWhenUsed/>
    <w:rsid w:val="009F49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7001/1/149/152" TargetMode="External"/><Relationship Id="rId5" Type="http://schemas.openxmlformats.org/officeDocument/2006/relationships/hyperlink" Target="http://lib.eshia.ir/17001/1/77/6" TargetMode="External"/><Relationship Id="rId4" Type="http://schemas.openxmlformats.org/officeDocument/2006/relationships/hyperlink" Target="http://lib.eshia.ir/17001/1/358/5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661</Words>
  <Characters>3771</Characters>
  <Application>Microsoft Office Word</Application>
  <DocSecurity>0</DocSecurity>
  <Lines>31</Lines>
  <Paragraphs>8</Paragraphs>
  <ScaleCrop>false</ScaleCrop>
  <Company/>
  <LinksUpToDate>false</LinksUpToDate>
  <CharactersWithSpaces>4424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2025-11-26T22:38:00Z</dcterms:created>
  <dcterms:modified xsi:type="dcterms:W3CDTF">2025-11-26T22:39:00Z</dcterms:modified>
</cp:coreProperties>
</file>