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EE81CE" w14:textId="77777777" w:rsidR="00B76717" w:rsidRPr="00B76717" w:rsidRDefault="00B76717" w:rsidP="00B76717">
      <w:pPr>
        <w:jc w:val="center"/>
        <w:rPr>
          <w:rFonts w:ascii="AhangVariable UltraBold" w:hAnsi="AhangVariable UltraBold" w:cs="AhangVariable UltraBold"/>
          <w:u w:val="single"/>
        </w:rPr>
      </w:pPr>
      <w:r w:rsidRPr="00B76717">
        <w:rPr>
          <w:rFonts w:ascii="AhangVariable UltraBold" w:hAnsi="AhangVariable UltraBold" w:cs="AhangVariable UltraBold"/>
          <w:u w:val="single"/>
          <w:rtl/>
        </w:rPr>
        <w:t>موضوع </w:t>
      </w:r>
      <w:r w:rsidRPr="00B76717">
        <w:rPr>
          <w:rFonts w:ascii="AhangVariable UltraBold" w:hAnsi="AhangVariable UltraBold" w:cs="AhangVariable UltraBold"/>
          <w:u w:val="single"/>
        </w:rPr>
        <w:t>: </w:t>
      </w:r>
      <w:r w:rsidRPr="00B76717">
        <w:rPr>
          <w:rFonts w:ascii="AhangVariable UltraBold" w:hAnsi="AhangVariable UltraBold" w:cs="AhangVariable UltraBold"/>
          <w:u w:val="single"/>
          <w:rtl/>
        </w:rPr>
        <w:t>بانکداری اسلامی / عقود بانکی / اجاره / شروط متعاقدین/ بررسی شرطیت بلوغ متعاقدین</w:t>
      </w:r>
    </w:p>
    <w:p w14:paraId="503D5854" w14:textId="6A39AEA9" w:rsidR="00B76717" w:rsidRPr="00B76717" w:rsidRDefault="00B76717" w:rsidP="00B76717">
      <w:pPr>
        <w:jc w:val="right"/>
        <w:rPr>
          <w:rFonts w:cstheme="minorHAnsi"/>
          <w:b/>
          <w:bCs/>
          <w:sz w:val="22"/>
          <w:szCs w:val="22"/>
        </w:rPr>
      </w:pPr>
      <w:r w:rsidRPr="00B76717">
        <w:rPr>
          <w:rFonts w:cstheme="minorHAnsi"/>
          <w:b/>
          <w:bCs/>
          <w:sz w:val="22"/>
          <w:szCs w:val="22"/>
          <w:rtl/>
        </w:rPr>
        <w:t>در جلسه گذشته پیرامون علائم بلوغ مطالبی بیان شد و گفته شد که بلوغ امری تکوینی و تغییر و در جسم است که انسان را از حد صباوت خارج و به حد مرد یا زن بودن می رساند. در این تغییر طول قامت انسان افزایش یافته و استخوانها محکم می شوند. بر همین اساس است که در آیه شریفه تعبیر به</w:t>
      </w:r>
      <w:r w:rsidRPr="00B76717">
        <w:rPr>
          <w:rFonts w:cstheme="minorHAnsi"/>
          <w:b/>
          <w:bCs/>
          <w:sz w:val="22"/>
          <w:szCs w:val="22"/>
        </w:rPr>
        <w:t xml:space="preserve"> «</w:t>
      </w:r>
      <w:r w:rsidRPr="00B76717">
        <w:rPr>
          <w:rFonts w:cstheme="minorHAnsi"/>
          <w:b/>
          <w:bCs/>
          <w:sz w:val="22"/>
          <w:szCs w:val="22"/>
          <w:rtl/>
        </w:rPr>
        <w:t>حَتَّى يَبْلُغَ أَشُدَّهُ </w:t>
      </w:r>
      <w:r w:rsidRPr="00B76717">
        <w:rPr>
          <w:rFonts w:cstheme="minorHAnsi"/>
          <w:b/>
          <w:bCs/>
          <w:sz w:val="22"/>
          <w:szCs w:val="22"/>
        </w:rPr>
        <w:t>»</w:t>
      </w:r>
      <w:bookmarkStart w:id="0" w:name="_ftnref1"/>
      <w:r w:rsidRPr="00B76717">
        <w:rPr>
          <w:rFonts w:cstheme="minorHAnsi"/>
          <w:b/>
          <w:bCs/>
          <w:sz w:val="22"/>
          <w:szCs w:val="22"/>
        </w:rPr>
        <w:fldChar w:fldCharType="begin"/>
      </w:r>
      <w:r w:rsidRPr="00B76717">
        <w:rPr>
          <w:rFonts w:cstheme="minorHAnsi"/>
          <w:b/>
          <w:bCs/>
          <w:sz w:val="22"/>
          <w:szCs w:val="22"/>
        </w:rPr>
        <w:instrText>HYPERLINK "https://eshia.ir/feqh/archive/text/jazayeri/feqh/93/940123/" \l "_ftn1" \o "</w:instrText>
      </w:r>
      <w:r w:rsidRPr="00B76717">
        <w:rPr>
          <w:rFonts w:cstheme="minorHAnsi"/>
          <w:b/>
          <w:bCs/>
          <w:sz w:val="22"/>
          <w:szCs w:val="22"/>
          <w:rtl/>
        </w:rPr>
        <w:instrText>انعام/سوره6، آیه152</w:instrText>
      </w:r>
      <w:r w:rsidRPr="00B76717">
        <w:rPr>
          <w:rFonts w:cstheme="minorHAnsi"/>
          <w:b/>
          <w:bCs/>
          <w:sz w:val="22"/>
          <w:szCs w:val="22"/>
        </w:rPr>
        <w:instrText>."</w:instrText>
      </w:r>
      <w:r w:rsidRPr="00B76717">
        <w:rPr>
          <w:rFonts w:cstheme="minorHAnsi"/>
          <w:b/>
          <w:bCs/>
          <w:sz w:val="22"/>
          <w:szCs w:val="22"/>
        </w:rPr>
      </w:r>
      <w:r w:rsidRPr="00B76717">
        <w:rPr>
          <w:rFonts w:cstheme="minorHAnsi"/>
          <w:b/>
          <w:bCs/>
          <w:sz w:val="22"/>
          <w:szCs w:val="22"/>
        </w:rPr>
        <w:fldChar w:fldCharType="separate"/>
      </w:r>
      <w:r w:rsidRPr="00B76717">
        <w:rPr>
          <w:rStyle w:val="Hyperlink"/>
          <w:rFonts w:cstheme="minorHAnsi"/>
          <w:b/>
          <w:bCs/>
          <w:sz w:val="22"/>
          <w:szCs w:val="22"/>
        </w:rPr>
        <w:t>[1]</w:t>
      </w:r>
      <w:r w:rsidRPr="00B76717">
        <w:rPr>
          <w:rFonts w:cstheme="minorHAnsi"/>
          <w:b/>
          <w:bCs/>
          <w:sz w:val="22"/>
          <w:szCs w:val="22"/>
        </w:rPr>
        <w:fldChar w:fldCharType="end"/>
      </w:r>
      <w:bookmarkEnd w:id="0"/>
      <w:r w:rsidRPr="00B76717">
        <w:rPr>
          <w:rFonts w:cstheme="minorHAnsi"/>
          <w:b/>
          <w:bCs/>
          <w:sz w:val="22"/>
          <w:szCs w:val="22"/>
        </w:rPr>
        <w:t> </w:t>
      </w:r>
      <w:r w:rsidRPr="00B76717">
        <w:rPr>
          <w:rFonts w:cstheme="minorHAnsi"/>
          <w:b/>
          <w:bCs/>
          <w:sz w:val="22"/>
          <w:szCs w:val="22"/>
          <w:rtl/>
        </w:rPr>
        <w:t>آمده</w:t>
      </w:r>
      <w:r w:rsidRPr="00B76717">
        <w:rPr>
          <w:rFonts w:cstheme="minorHAnsi"/>
          <w:b/>
          <w:bCs/>
          <w:sz w:val="22"/>
          <w:szCs w:val="22"/>
        </w:rPr>
        <w:t>.</w:t>
      </w:r>
      <w:r w:rsidRPr="00B76717">
        <w:rPr>
          <w:rFonts w:cstheme="minorHAnsi"/>
          <w:b/>
          <w:bCs/>
          <w:sz w:val="22"/>
          <w:szCs w:val="22"/>
        </w:rPr>
        <w:br/>
      </w:r>
      <w:r w:rsidRPr="00B76717">
        <w:rPr>
          <w:rFonts w:cstheme="minorHAnsi"/>
          <w:b/>
          <w:bCs/>
          <w:sz w:val="22"/>
          <w:szCs w:val="22"/>
          <w:rtl/>
        </w:rPr>
        <w:t>احتلام یکی از علائم این امر تکوینی است که با آن قطع به حصول بلوغ ایجاد می شود. از دیگر علائم انبات موی خشن بر عانه است؛ حیض و حمل نیز در زنان نیز علامت بلوغ هستند و با این دو تکالیف شرعی ثابت می گردند، چه این دو علامت سبق بلوغ و چه علامت خود بلوغ باشند</w:t>
      </w:r>
      <w:r w:rsidRPr="00B76717">
        <w:rPr>
          <w:rFonts w:cstheme="minorHAnsi"/>
          <w:b/>
          <w:bCs/>
          <w:sz w:val="22"/>
          <w:szCs w:val="22"/>
        </w:rPr>
        <w:t>.</w:t>
      </w:r>
      <w:r w:rsidRPr="00B76717">
        <w:rPr>
          <w:rFonts w:cstheme="minorHAnsi"/>
          <w:b/>
          <w:bCs/>
          <w:sz w:val="22"/>
          <w:szCs w:val="22"/>
        </w:rPr>
        <w:br/>
      </w:r>
      <w:r w:rsidRPr="00B76717">
        <w:rPr>
          <w:rFonts w:cstheme="minorHAnsi"/>
          <w:b/>
          <w:bCs/>
          <w:sz w:val="22"/>
          <w:szCs w:val="22"/>
          <w:rtl/>
        </w:rPr>
        <w:t>قول به بلوغ در پانزده سالگی</w:t>
      </w:r>
      <w:r w:rsidRPr="00B76717">
        <w:rPr>
          <w:rFonts w:cstheme="minorHAnsi"/>
          <w:b/>
          <w:bCs/>
          <w:sz w:val="22"/>
          <w:szCs w:val="22"/>
        </w:rPr>
        <w:br/>
      </w:r>
      <w:r w:rsidRPr="00B76717">
        <w:rPr>
          <w:rFonts w:cstheme="minorHAnsi"/>
          <w:b/>
          <w:bCs/>
          <w:sz w:val="22"/>
          <w:szCs w:val="22"/>
          <w:rtl/>
        </w:rPr>
        <w:t>از دیگر علائم سن است که مشهور در مردان اکمال پانزده سال و در زنان نه سال است</w:t>
      </w:r>
      <w:r w:rsidRPr="00B76717">
        <w:rPr>
          <w:rFonts w:cstheme="minorHAnsi"/>
          <w:b/>
          <w:bCs/>
          <w:sz w:val="22"/>
          <w:szCs w:val="22"/>
        </w:rPr>
        <w:t>.</w:t>
      </w:r>
      <w:r w:rsidRPr="00B76717">
        <w:rPr>
          <w:rFonts w:cstheme="minorHAnsi"/>
          <w:b/>
          <w:bCs/>
          <w:sz w:val="22"/>
          <w:szCs w:val="22"/>
        </w:rPr>
        <w:br/>
      </w:r>
      <w:r w:rsidRPr="00B76717">
        <w:rPr>
          <w:rFonts w:cstheme="minorHAnsi"/>
          <w:b/>
          <w:bCs/>
          <w:sz w:val="22"/>
          <w:szCs w:val="22"/>
          <w:rtl/>
        </w:rPr>
        <w:t>مستند این حکم، روایاتی می باشند. از جمله این روایات حمران است</w:t>
      </w:r>
      <w:r w:rsidRPr="00B76717">
        <w:rPr>
          <w:rFonts w:cstheme="minorHAnsi"/>
          <w:b/>
          <w:bCs/>
          <w:sz w:val="22"/>
          <w:szCs w:val="22"/>
        </w:rPr>
        <w:t xml:space="preserve"> «</w:t>
      </w:r>
      <w:r w:rsidRPr="00B76717">
        <w:rPr>
          <w:rFonts w:cstheme="minorHAnsi"/>
          <w:b/>
          <w:bCs/>
          <w:sz w:val="22"/>
          <w:szCs w:val="22"/>
          <w:rtl/>
        </w:rPr>
        <w:t>مُحَمَّدُ بْنُ يَعْقُوبَ عَنْ مُحَمَّدِ بْنِ يَحْيَى عَنْ أَحْمَدَ بْنِ مُحَمَّدٍ عَنِ ابْنِ مَحْبُوبٍ عَنْ عَبْدِ الْعَزِيزِ الْعَبْدِيِّ (او القندی) عَنْ حَمْزَةَ بْنِ حُمْرَانَ عَنْ أَبِي جَعْفَرٍ ع فِي حَدِيثٍ أَنَّهُ قَالَ: الْجَارِيَةُ إِذَا تَزَوَّجَتْ وَ دُخِلَ بِهَا وَ لَهَا تِسْعُ سِنِينَ- ذَهَبَ عَنْهَا الْيُتْمُ وَ دُفِعَ إِلَيْهَا مَالُهَا- وَ جَازَ أَمْرُهَا فِي الشِّرَاءِ وَ الْبَيْعِ- قَالَ وَ الْغُلَامُ لَا يَجُوزُ أَمْرُهُ فِي الشِّرَاءِ وَ الْبَيْعِ- وَ لَا يَخْرُجُ مِنَ الْيُتْمِ حَتَّى يَبْلُغَ خَمْسَ عَشْرَةَ سَنَةً- أَوْ يَحْتَلِمَ أَوْ يُشْعِرَ أَوْ يُنْبِتَ قَبْلَ ذَلِكَ</w:t>
      </w:r>
      <w:r w:rsidRPr="00B76717">
        <w:rPr>
          <w:rFonts w:cstheme="minorHAnsi"/>
          <w:b/>
          <w:bCs/>
          <w:sz w:val="22"/>
          <w:szCs w:val="22"/>
        </w:rPr>
        <w:t>.»</w:t>
      </w:r>
      <w:bookmarkStart w:id="1" w:name="_ftnref2"/>
      <w:r w:rsidRPr="00B76717">
        <w:rPr>
          <w:rFonts w:cstheme="minorHAnsi"/>
          <w:b/>
          <w:bCs/>
          <w:sz w:val="22"/>
          <w:szCs w:val="22"/>
        </w:rPr>
        <w:fldChar w:fldCharType="begin"/>
      </w:r>
      <w:r w:rsidRPr="00B76717">
        <w:rPr>
          <w:rFonts w:cstheme="minorHAnsi"/>
          <w:b/>
          <w:bCs/>
          <w:sz w:val="22"/>
          <w:szCs w:val="22"/>
        </w:rPr>
        <w:instrText>HYPERLINK "https://eshia.ir/feqh/archive/text/jazayeri/feqh/93/940123/" \l "_ftn2" \o "</w:instrText>
      </w:r>
      <w:r w:rsidRPr="00B76717">
        <w:rPr>
          <w:rFonts w:cstheme="minorHAnsi"/>
          <w:b/>
          <w:bCs/>
          <w:sz w:val="22"/>
          <w:szCs w:val="22"/>
          <w:rtl/>
        </w:rPr>
        <w:instrText>وسائل الشیعه،</w:instrText>
      </w:r>
      <w:r w:rsidRPr="00B76717">
        <w:rPr>
          <w:rFonts w:cstheme="minorHAnsi"/>
          <w:b/>
          <w:bCs/>
          <w:sz w:val="22"/>
          <w:szCs w:val="22"/>
        </w:rPr>
        <w:instrText xml:space="preserve">
</w:instrText>
      </w:r>
      <w:r w:rsidRPr="00B76717">
        <w:rPr>
          <w:rFonts w:cstheme="minorHAnsi"/>
          <w:b/>
          <w:bCs/>
          <w:sz w:val="22"/>
          <w:szCs w:val="22"/>
          <w:rtl/>
        </w:rPr>
        <w:instrText>شیخ حر عاملی، ج 17، ص 360، ابواب عقد البیع و شروطه، باب14،</w:instrText>
      </w:r>
      <w:r w:rsidRPr="00B76717">
        <w:rPr>
          <w:rFonts w:cstheme="minorHAnsi"/>
          <w:b/>
          <w:bCs/>
          <w:sz w:val="22"/>
          <w:szCs w:val="22"/>
        </w:rPr>
        <w:instrText xml:space="preserve">
</w:instrText>
      </w:r>
      <w:r w:rsidRPr="00B76717">
        <w:rPr>
          <w:rFonts w:cstheme="minorHAnsi"/>
          <w:b/>
          <w:bCs/>
          <w:sz w:val="22"/>
          <w:szCs w:val="22"/>
          <w:rtl/>
        </w:rPr>
        <w:instrText>شماره 22751، ح1،ط آل البیت</w:instrText>
      </w:r>
      <w:r w:rsidRPr="00B76717">
        <w:rPr>
          <w:rFonts w:cstheme="minorHAnsi"/>
          <w:b/>
          <w:bCs/>
          <w:sz w:val="22"/>
          <w:szCs w:val="22"/>
        </w:rPr>
        <w:instrText>."</w:instrText>
      </w:r>
      <w:r w:rsidRPr="00B76717">
        <w:rPr>
          <w:rFonts w:cstheme="minorHAnsi"/>
          <w:b/>
          <w:bCs/>
          <w:sz w:val="22"/>
          <w:szCs w:val="22"/>
        </w:rPr>
      </w:r>
      <w:r w:rsidRPr="00B76717">
        <w:rPr>
          <w:rFonts w:cstheme="minorHAnsi"/>
          <w:b/>
          <w:bCs/>
          <w:sz w:val="22"/>
          <w:szCs w:val="22"/>
        </w:rPr>
        <w:fldChar w:fldCharType="separate"/>
      </w:r>
      <w:r w:rsidRPr="00B76717">
        <w:rPr>
          <w:rStyle w:val="Hyperlink"/>
          <w:rFonts w:cstheme="minorHAnsi"/>
          <w:b/>
          <w:bCs/>
          <w:sz w:val="22"/>
          <w:szCs w:val="22"/>
        </w:rPr>
        <w:t>[2]</w:t>
      </w:r>
      <w:r w:rsidRPr="00B76717">
        <w:rPr>
          <w:rFonts w:cstheme="minorHAnsi"/>
          <w:b/>
          <w:bCs/>
          <w:sz w:val="22"/>
          <w:szCs w:val="22"/>
        </w:rPr>
        <w:fldChar w:fldCharType="end"/>
      </w:r>
      <w:bookmarkEnd w:id="1"/>
      <w:r w:rsidRPr="00B76717">
        <w:rPr>
          <w:rFonts w:cstheme="minorHAnsi"/>
          <w:b/>
          <w:bCs/>
          <w:sz w:val="22"/>
          <w:szCs w:val="22"/>
        </w:rPr>
        <w:t> </w:t>
      </w:r>
      <w:r w:rsidRPr="00B76717">
        <w:rPr>
          <w:rFonts w:cstheme="minorHAnsi"/>
          <w:b/>
          <w:bCs/>
          <w:sz w:val="22"/>
          <w:szCs w:val="22"/>
          <w:rtl/>
        </w:rPr>
        <w:t>در این روایت اعتبار بلوغ با رسیدن به سن نه سال برای زنان و پانزده سال برای مردان شده است</w:t>
      </w:r>
      <w:r w:rsidRPr="00B76717">
        <w:rPr>
          <w:rFonts w:cstheme="minorHAnsi"/>
          <w:b/>
          <w:bCs/>
          <w:sz w:val="22"/>
          <w:szCs w:val="22"/>
        </w:rPr>
        <w:t>.</w:t>
      </w:r>
      <w:r w:rsidRPr="00B76717">
        <w:rPr>
          <w:rFonts w:cstheme="minorHAnsi"/>
          <w:b/>
          <w:bCs/>
          <w:sz w:val="22"/>
          <w:szCs w:val="22"/>
        </w:rPr>
        <w:br/>
      </w:r>
      <w:r w:rsidRPr="00B76717">
        <w:rPr>
          <w:rFonts w:cstheme="minorHAnsi"/>
          <w:b/>
          <w:bCs/>
          <w:sz w:val="22"/>
          <w:szCs w:val="22"/>
          <w:rtl/>
        </w:rPr>
        <w:t>حمران ابن اعین برادر زراره و یکی از چهار فرزند و بزرگترین فرزند اعین است. بعد از او زراره و بعد از او بکیر و در آخر عبدالملک بن اعین می باشند. همه فرزندان اعین از اجله ثقات هستند و زراره افقه اصحاب الائمه می باشد. لکن حمزه بن اعین که در سند روایت آمده توثیق نشده و عبد العزیز عبدی دارای تضعیف است و نجاشی او را کوفی و مرمی بالضعف دانسته است. اما اگر بجای عبدی، قندی باشد، مهمل بوده و ذکری از او در رجال نشده. بنا بر این روایت ضعیف خواهد بود</w:t>
      </w:r>
      <w:r w:rsidRPr="00B76717">
        <w:rPr>
          <w:rFonts w:cstheme="minorHAnsi"/>
          <w:b/>
          <w:bCs/>
          <w:sz w:val="22"/>
          <w:szCs w:val="22"/>
        </w:rPr>
        <w:t>.</w:t>
      </w:r>
      <w:r w:rsidRPr="00B76717">
        <w:rPr>
          <w:rFonts w:cstheme="minorHAnsi"/>
          <w:b/>
          <w:bCs/>
          <w:sz w:val="22"/>
          <w:szCs w:val="22"/>
        </w:rPr>
        <w:br/>
      </w:r>
      <w:r w:rsidRPr="00B76717">
        <w:rPr>
          <w:rFonts w:cstheme="minorHAnsi"/>
          <w:b/>
          <w:bCs/>
          <w:sz w:val="22"/>
          <w:szCs w:val="22"/>
          <w:rtl/>
        </w:rPr>
        <w:t>روایت دوم روایت یزید یا برید کناسی است، این روایت بسیار طویل است و ما تنها شاهد محل بحث را می آوریم، که در آن امام علیه السلام بلوغ را به رسیدن سن به پانزده سالگی دانسته است </w:t>
      </w:r>
      <w:r w:rsidRPr="00B76717">
        <w:rPr>
          <w:rFonts w:cstheme="minorHAnsi"/>
          <w:b/>
          <w:bCs/>
          <w:sz w:val="22"/>
          <w:szCs w:val="22"/>
        </w:rPr>
        <w:t>«</w:t>
      </w:r>
      <w:r w:rsidRPr="00B76717">
        <w:rPr>
          <w:rFonts w:cstheme="minorHAnsi"/>
          <w:b/>
          <w:bCs/>
          <w:sz w:val="22"/>
          <w:szCs w:val="22"/>
          <w:rtl/>
        </w:rPr>
        <w:t>يَا أَبَا خَالِدٍ إِنَّ الْغُلَامَ إِذَا زَوَّجَهُ أَبُوهُ- وَ لَمْ يُدْرِكْ كَانَ بِالْخِيَارِ إِذَا أَدْرَكَ وَ بَلَغَ خَمْسَ عَشْرَةَ سَنَةً</w:t>
      </w:r>
      <w:r w:rsidRPr="00B76717">
        <w:rPr>
          <w:rFonts w:cstheme="minorHAnsi"/>
          <w:b/>
          <w:bCs/>
          <w:sz w:val="22"/>
          <w:szCs w:val="22"/>
        </w:rPr>
        <w:t>»</w:t>
      </w:r>
      <w:bookmarkStart w:id="2" w:name="_ftnref3"/>
      <w:r w:rsidRPr="00B76717">
        <w:rPr>
          <w:rFonts w:cstheme="minorHAnsi"/>
          <w:b/>
          <w:bCs/>
          <w:sz w:val="22"/>
          <w:szCs w:val="22"/>
        </w:rPr>
        <w:fldChar w:fldCharType="begin"/>
      </w:r>
      <w:r w:rsidRPr="00B76717">
        <w:rPr>
          <w:rFonts w:cstheme="minorHAnsi"/>
          <w:b/>
          <w:bCs/>
          <w:sz w:val="22"/>
          <w:szCs w:val="22"/>
        </w:rPr>
        <w:instrText>HYPERLINK "https://eshia.ir/feqh/archive/text/jazayeri/feqh/93/940123/" \l "_ftn3" \o "</w:instrText>
      </w:r>
      <w:r w:rsidRPr="00B76717">
        <w:rPr>
          <w:rFonts w:cstheme="minorHAnsi"/>
          <w:b/>
          <w:bCs/>
          <w:sz w:val="22"/>
          <w:szCs w:val="22"/>
          <w:rtl/>
        </w:rPr>
        <w:instrText>وسائل الشیعه،</w:instrText>
      </w:r>
      <w:r w:rsidRPr="00B76717">
        <w:rPr>
          <w:rFonts w:cstheme="minorHAnsi"/>
          <w:b/>
          <w:bCs/>
          <w:sz w:val="22"/>
          <w:szCs w:val="22"/>
        </w:rPr>
        <w:instrText xml:space="preserve">
</w:instrText>
      </w:r>
      <w:r w:rsidRPr="00B76717">
        <w:rPr>
          <w:rFonts w:cstheme="minorHAnsi"/>
          <w:b/>
          <w:bCs/>
          <w:sz w:val="22"/>
          <w:szCs w:val="22"/>
          <w:rtl/>
        </w:rPr>
        <w:instrText>شیخ حر عاملی، ج 20، ص 278، ابواب عقد النکاح و اولیاء العقد،</w:instrText>
      </w:r>
      <w:r w:rsidRPr="00B76717">
        <w:rPr>
          <w:rFonts w:cstheme="minorHAnsi"/>
          <w:b/>
          <w:bCs/>
          <w:sz w:val="22"/>
          <w:szCs w:val="22"/>
        </w:rPr>
        <w:instrText xml:space="preserve">
</w:instrText>
      </w:r>
      <w:r w:rsidRPr="00B76717">
        <w:rPr>
          <w:rFonts w:cstheme="minorHAnsi"/>
          <w:b/>
          <w:bCs/>
          <w:sz w:val="22"/>
          <w:szCs w:val="22"/>
          <w:rtl/>
        </w:rPr>
        <w:instrText>باب6، شماره 25626، ح1،ط آل البیت</w:instrText>
      </w:r>
      <w:r w:rsidRPr="00B76717">
        <w:rPr>
          <w:rFonts w:cstheme="minorHAnsi"/>
          <w:b/>
          <w:bCs/>
          <w:sz w:val="22"/>
          <w:szCs w:val="22"/>
        </w:rPr>
        <w:instrText>."</w:instrText>
      </w:r>
      <w:r w:rsidRPr="00B76717">
        <w:rPr>
          <w:rFonts w:cstheme="minorHAnsi"/>
          <w:b/>
          <w:bCs/>
          <w:sz w:val="22"/>
          <w:szCs w:val="22"/>
        </w:rPr>
      </w:r>
      <w:r w:rsidRPr="00B76717">
        <w:rPr>
          <w:rFonts w:cstheme="minorHAnsi"/>
          <w:b/>
          <w:bCs/>
          <w:sz w:val="22"/>
          <w:szCs w:val="22"/>
        </w:rPr>
        <w:fldChar w:fldCharType="separate"/>
      </w:r>
      <w:r w:rsidRPr="00B76717">
        <w:rPr>
          <w:rStyle w:val="Hyperlink"/>
          <w:rFonts w:cstheme="minorHAnsi"/>
          <w:b/>
          <w:bCs/>
          <w:sz w:val="22"/>
          <w:szCs w:val="22"/>
        </w:rPr>
        <w:t>[3]</w:t>
      </w:r>
      <w:r w:rsidRPr="00B76717">
        <w:rPr>
          <w:rFonts w:cstheme="minorHAnsi"/>
          <w:b/>
          <w:bCs/>
          <w:sz w:val="22"/>
          <w:szCs w:val="22"/>
        </w:rPr>
        <w:fldChar w:fldCharType="end"/>
      </w:r>
      <w:bookmarkEnd w:id="2"/>
      <w:r w:rsidRPr="00B76717">
        <w:rPr>
          <w:rFonts w:cstheme="minorHAnsi"/>
          <w:b/>
          <w:bCs/>
          <w:sz w:val="22"/>
          <w:szCs w:val="22"/>
        </w:rPr>
        <w:br/>
      </w:r>
      <w:r w:rsidRPr="00B76717">
        <w:rPr>
          <w:rFonts w:cstheme="minorHAnsi"/>
          <w:b/>
          <w:bCs/>
          <w:sz w:val="22"/>
          <w:szCs w:val="22"/>
          <w:rtl/>
        </w:rPr>
        <w:t>نام برید در کتب رجال نیامده در مورد یزید کناسی نیز توثیقی ذکر نشده ولی اعلام گفته اند که او ابو خالد القماط است که دارای توثیق است و در این صورت یزد کناسی ثقه و روایت معتبر خواهد بود</w:t>
      </w:r>
      <w:r w:rsidRPr="00B76717">
        <w:rPr>
          <w:rFonts w:cstheme="minorHAnsi"/>
          <w:b/>
          <w:bCs/>
          <w:sz w:val="22"/>
          <w:szCs w:val="22"/>
        </w:rPr>
        <w:t>.</w:t>
      </w:r>
      <w:r w:rsidRPr="00B76717">
        <w:rPr>
          <w:rFonts w:cstheme="minorHAnsi"/>
          <w:b/>
          <w:bCs/>
          <w:sz w:val="22"/>
          <w:szCs w:val="22"/>
        </w:rPr>
        <w:br/>
      </w:r>
      <w:r w:rsidRPr="00B76717">
        <w:rPr>
          <w:rFonts w:cstheme="minorHAnsi"/>
          <w:b/>
          <w:bCs/>
          <w:sz w:val="22"/>
          <w:szCs w:val="22"/>
          <w:rtl/>
        </w:rPr>
        <w:t>اکثر اعلام اهل سنت غیر از مالک بن انس نیز قائل به بلوغ در سن پانزده سالگی شده اند. مالک می گوید: نصاب سنی برای بلوغ وجود ندارد و تنها با احتلام بلوغ ثابت می شود. اختلاف اهل سنت با امامیه در آن است که ایشان علاوه در مردان اعتقاد به علامیت پانزده سالگی برای بلوغ در زنان نیز دارند</w:t>
      </w:r>
      <w:r w:rsidRPr="00B76717">
        <w:rPr>
          <w:rFonts w:cstheme="minorHAnsi"/>
          <w:b/>
          <w:bCs/>
          <w:sz w:val="22"/>
          <w:szCs w:val="22"/>
        </w:rPr>
        <w:t>.</w:t>
      </w:r>
      <w:r w:rsidRPr="00B76717">
        <w:rPr>
          <w:rFonts w:cstheme="minorHAnsi"/>
          <w:b/>
          <w:bCs/>
          <w:sz w:val="22"/>
          <w:szCs w:val="22"/>
        </w:rPr>
        <w:br/>
      </w:r>
      <w:r w:rsidRPr="00B76717">
        <w:rPr>
          <w:rFonts w:cstheme="minorHAnsi"/>
          <w:b/>
          <w:bCs/>
          <w:sz w:val="22"/>
          <w:szCs w:val="22"/>
          <w:rtl/>
        </w:rPr>
        <w:t>قولبه بلوغ در چهارده سالگی</w:t>
      </w:r>
      <w:r w:rsidRPr="00B76717">
        <w:rPr>
          <w:rFonts w:cstheme="minorHAnsi"/>
          <w:b/>
          <w:bCs/>
          <w:sz w:val="22"/>
          <w:szCs w:val="22"/>
        </w:rPr>
        <w:br/>
      </w:r>
      <w:r w:rsidRPr="00B76717">
        <w:rPr>
          <w:rFonts w:cstheme="minorHAnsi"/>
          <w:b/>
          <w:bCs/>
          <w:sz w:val="22"/>
          <w:szCs w:val="22"/>
          <w:rtl/>
        </w:rPr>
        <w:t>اقوال دیگری نیز در سن بلوغ وجود دارد. ابن جنید قائل به کفایت اکمال چهارده سال شده، همین نظر را به مقدس اردبیلی نسبت داده اند و در مقام استدلال به روایت ابی حمزه ثمالی تمسک کرده اند</w:t>
      </w:r>
      <w:r w:rsidRPr="00B76717">
        <w:rPr>
          <w:rFonts w:cstheme="minorHAnsi"/>
          <w:b/>
          <w:bCs/>
          <w:sz w:val="22"/>
          <w:szCs w:val="22"/>
        </w:rPr>
        <w:t>.</w:t>
      </w:r>
      <w:r w:rsidRPr="00B76717">
        <w:rPr>
          <w:rFonts w:cstheme="minorHAnsi"/>
          <w:b/>
          <w:bCs/>
          <w:sz w:val="22"/>
          <w:szCs w:val="22"/>
        </w:rPr>
        <w:br/>
        <w:t>«</w:t>
      </w:r>
      <w:r w:rsidRPr="00B76717">
        <w:rPr>
          <w:rFonts w:cstheme="minorHAnsi"/>
          <w:b/>
          <w:bCs/>
          <w:sz w:val="22"/>
          <w:szCs w:val="22"/>
          <w:rtl/>
        </w:rPr>
        <w:t>عَنْ أَبِي حَمْزَةَ الثُّمَالِيِّ عَنْ أَبِي جَعْفَرٍ ع قَالَ: قُلْتُ لَهُ فِي كَمْ تَجْرِي الْأَحْكَامُ عَلَى الصِّبْيَانِ- قَالَ فِي ثَلَاثَ عَشْرَةَ وَ أَرْبَعَ عَشْرَةَ</w:t>
      </w:r>
      <w:r w:rsidRPr="00B76717">
        <w:rPr>
          <w:rFonts w:cstheme="minorHAnsi"/>
          <w:b/>
          <w:bCs/>
          <w:sz w:val="22"/>
          <w:szCs w:val="22"/>
        </w:rPr>
        <w:t>»</w:t>
      </w:r>
      <w:bookmarkStart w:id="3" w:name="_ftnref4"/>
      <w:r w:rsidRPr="00B76717">
        <w:rPr>
          <w:rFonts w:cstheme="minorHAnsi"/>
          <w:b/>
          <w:bCs/>
          <w:sz w:val="22"/>
          <w:szCs w:val="22"/>
        </w:rPr>
        <w:fldChar w:fldCharType="begin"/>
      </w:r>
      <w:r w:rsidRPr="00B76717">
        <w:rPr>
          <w:rFonts w:cstheme="minorHAnsi"/>
          <w:b/>
          <w:bCs/>
          <w:sz w:val="22"/>
          <w:szCs w:val="22"/>
        </w:rPr>
        <w:instrText>HYPERLINK "https://eshia.ir/feqh/archive/text/jazayeri/feqh/93/940123/" \l "_ftn4" \o "</w:instrText>
      </w:r>
      <w:r w:rsidRPr="00B76717">
        <w:rPr>
          <w:rFonts w:cstheme="minorHAnsi"/>
          <w:b/>
          <w:bCs/>
          <w:sz w:val="22"/>
          <w:szCs w:val="22"/>
          <w:rtl/>
        </w:rPr>
        <w:instrText>وسائل الشیعه، شیخ</w:instrText>
      </w:r>
      <w:r w:rsidRPr="00B76717">
        <w:rPr>
          <w:rFonts w:cstheme="minorHAnsi"/>
          <w:b/>
          <w:bCs/>
          <w:sz w:val="22"/>
          <w:szCs w:val="22"/>
        </w:rPr>
        <w:instrText xml:space="preserve">
</w:instrText>
      </w:r>
      <w:r w:rsidRPr="00B76717">
        <w:rPr>
          <w:rFonts w:cstheme="minorHAnsi"/>
          <w:b/>
          <w:bCs/>
          <w:sz w:val="22"/>
          <w:szCs w:val="22"/>
          <w:rtl/>
        </w:rPr>
        <w:instrText>حر عاملی، ج 19، ص 367، کتاب الوصایا، باب45، شماره 24775، ح3،ط آل</w:instrText>
      </w:r>
      <w:r w:rsidRPr="00B76717">
        <w:rPr>
          <w:rFonts w:cstheme="minorHAnsi"/>
          <w:b/>
          <w:bCs/>
          <w:sz w:val="22"/>
          <w:szCs w:val="22"/>
        </w:rPr>
        <w:instrText xml:space="preserve">
</w:instrText>
      </w:r>
      <w:r w:rsidRPr="00B76717">
        <w:rPr>
          <w:rFonts w:cstheme="minorHAnsi"/>
          <w:b/>
          <w:bCs/>
          <w:sz w:val="22"/>
          <w:szCs w:val="22"/>
          <w:rtl/>
        </w:rPr>
        <w:instrText>البیت</w:instrText>
      </w:r>
      <w:r w:rsidRPr="00B76717">
        <w:rPr>
          <w:rFonts w:cstheme="minorHAnsi"/>
          <w:b/>
          <w:bCs/>
          <w:sz w:val="22"/>
          <w:szCs w:val="22"/>
        </w:rPr>
        <w:instrText>."</w:instrText>
      </w:r>
      <w:r w:rsidRPr="00B76717">
        <w:rPr>
          <w:rFonts w:cstheme="minorHAnsi"/>
          <w:b/>
          <w:bCs/>
          <w:sz w:val="22"/>
          <w:szCs w:val="22"/>
        </w:rPr>
      </w:r>
      <w:r w:rsidRPr="00B76717">
        <w:rPr>
          <w:rFonts w:cstheme="minorHAnsi"/>
          <w:b/>
          <w:bCs/>
          <w:sz w:val="22"/>
          <w:szCs w:val="22"/>
        </w:rPr>
        <w:fldChar w:fldCharType="separate"/>
      </w:r>
      <w:r w:rsidRPr="00B76717">
        <w:rPr>
          <w:rStyle w:val="Hyperlink"/>
          <w:rFonts w:cstheme="minorHAnsi"/>
          <w:b/>
          <w:bCs/>
          <w:sz w:val="22"/>
          <w:szCs w:val="22"/>
        </w:rPr>
        <w:t>[4]</w:t>
      </w:r>
      <w:r w:rsidRPr="00B76717">
        <w:rPr>
          <w:rFonts w:cstheme="minorHAnsi"/>
          <w:b/>
          <w:bCs/>
          <w:sz w:val="22"/>
          <w:szCs w:val="22"/>
        </w:rPr>
        <w:fldChar w:fldCharType="end"/>
      </w:r>
      <w:bookmarkEnd w:id="3"/>
      <w:r w:rsidRPr="00B76717">
        <w:rPr>
          <w:rFonts w:cstheme="minorHAnsi"/>
          <w:b/>
          <w:bCs/>
          <w:sz w:val="22"/>
          <w:szCs w:val="22"/>
        </w:rPr>
        <w:br/>
      </w:r>
      <w:r w:rsidRPr="00B76717">
        <w:rPr>
          <w:rFonts w:cstheme="minorHAnsi"/>
          <w:b/>
          <w:bCs/>
          <w:sz w:val="22"/>
          <w:szCs w:val="22"/>
          <w:rtl/>
        </w:rPr>
        <w:t>لکن رواتی که از ابی حمزه نقل روایت کرده اند ضعیفند و ضعف سندی این روایت روشن است</w:t>
      </w:r>
      <w:r w:rsidRPr="00B76717">
        <w:rPr>
          <w:rFonts w:cstheme="minorHAnsi"/>
          <w:b/>
          <w:bCs/>
          <w:sz w:val="22"/>
          <w:szCs w:val="22"/>
        </w:rPr>
        <w:t>.</w:t>
      </w:r>
      <w:r w:rsidRPr="00B76717">
        <w:rPr>
          <w:rFonts w:cstheme="minorHAnsi"/>
          <w:b/>
          <w:bCs/>
          <w:sz w:val="22"/>
          <w:szCs w:val="22"/>
        </w:rPr>
        <w:br/>
      </w:r>
      <w:r w:rsidRPr="00B76717">
        <w:rPr>
          <w:rFonts w:cstheme="minorHAnsi"/>
          <w:b/>
          <w:bCs/>
          <w:sz w:val="22"/>
          <w:szCs w:val="22"/>
          <w:rtl/>
        </w:rPr>
        <w:t>علاوه بر ضعف سندی روایت مبتلا به ضعف دلالی نیز می باشد؛ زیرا تردید مناسب با بلوغی که موضوع تکالیف الزامی است نمی باشد. اگر اقل معتبر باشد، اکثر مدخلیتی در بلوغ نخواهد داشت و اگر اکثر میزان باشد، ذکر اقل مهمل خواهد بود</w:t>
      </w:r>
      <w:r w:rsidRPr="00B76717">
        <w:rPr>
          <w:rFonts w:cstheme="minorHAnsi"/>
          <w:b/>
          <w:bCs/>
          <w:sz w:val="22"/>
          <w:szCs w:val="22"/>
        </w:rPr>
        <w:t>.</w:t>
      </w:r>
      <w:r w:rsidRPr="00B76717">
        <w:rPr>
          <w:rFonts w:cstheme="minorHAnsi"/>
          <w:b/>
          <w:bCs/>
          <w:sz w:val="22"/>
          <w:szCs w:val="22"/>
        </w:rPr>
        <w:br/>
      </w:r>
      <w:r w:rsidRPr="00B76717">
        <w:rPr>
          <w:rFonts w:cstheme="minorHAnsi"/>
          <w:b/>
          <w:bCs/>
          <w:sz w:val="22"/>
          <w:szCs w:val="22"/>
          <w:rtl/>
        </w:rPr>
        <w:t>بنا بر این می توان روایت بر استحباب تمرین صبیان حمل نمود. شاهد این حمل نیز، عدم ذکر بلوغ و ذکر کلمه صبیان در روایت می باشد. لذا بهتر است ولی، صبی خود را در سیزده و چهارده سالگی ملزم به اتیان نماز و روزه نمایند</w:t>
      </w:r>
      <w:r w:rsidRPr="00B76717">
        <w:rPr>
          <w:rFonts w:cstheme="minorHAnsi"/>
          <w:b/>
          <w:bCs/>
          <w:sz w:val="22"/>
          <w:szCs w:val="22"/>
        </w:rPr>
        <w:t>.</w:t>
      </w:r>
      <w:r w:rsidRPr="00B76717">
        <w:rPr>
          <w:rFonts w:cstheme="minorHAnsi"/>
          <w:b/>
          <w:bCs/>
          <w:sz w:val="22"/>
          <w:szCs w:val="22"/>
        </w:rPr>
        <w:br/>
      </w:r>
      <w:r w:rsidRPr="00B76717">
        <w:rPr>
          <w:rFonts w:cstheme="minorHAnsi"/>
          <w:b/>
          <w:bCs/>
          <w:sz w:val="22"/>
          <w:szCs w:val="22"/>
          <w:rtl/>
        </w:rPr>
        <w:t>لذا کلام ابن جنید مستند به دلیل معتبری نمی باشد</w:t>
      </w:r>
      <w:r w:rsidRPr="00B76717">
        <w:rPr>
          <w:rFonts w:cstheme="minorHAnsi"/>
          <w:b/>
          <w:bCs/>
          <w:sz w:val="22"/>
          <w:szCs w:val="22"/>
        </w:rPr>
        <w:t>.</w:t>
      </w:r>
      <w:r w:rsidRPr="00B76717">
        <w:rPr>
          <w:rFonts w:cstheme="minorHAnsi"/>
          <w:b/>
          <w:bCs/>
          <w:sz w:val="22"/>
          <w:szCs w:val="22"/>
        </w:rPr>
        <w:br/>
      </w:r>
      <w:r w:rsidRPr="00B76717">
        <w:rPr>
          <w:rFonts w:cstheme="minorHAnsi"/>
          <w:b/>
          <w:bCs/>
          <w:sz w:val="22"/>
          <w:szCs w:val="22"/>
          <w:rtl/>
        </w:rPr>
        <w:t>قول به بلوغ در سیزده سالگی</w:t>
      </w:r>
      <w:r w:rsidRPr="00B76717">
        <w:rPr>
          <w:rFonts w:cstheme="minorHAnsi"/>
          <w:b/>
          <w:bCs/>
          <w:sz w:val="22"/>
          <w:szCs w:val="22"/>
        </w:rPr>
        <w:br/>
      </w:r>
      <w:r w:rsidRPr="00B76717">
        <w:rPr>
          <w:rFonts w:cstheme="minorHAnsi"/>
          <w:b/>
          <w:bCs/>
          <w:sz w:val="22"/>
          <w:szCs w:val="22"/>
          <w:rtl/>
        </w:rPr>
        <w:t>قول دیگر در بلوغ مردان، رسیدن به سن سیزده سالگی است. این قول منسوب به فیض کاشانی و فاضل سبزواری که این دو بزرگوار صاحب دو کتاب ذخیره و کفایه می باشند. استناد ایشان به روایت عمار ساباطی است</w:t>
      </w:r>
      <w:r w:rsidRPr="00B76717">
        <w:rPr>
          <w:rFonts w:cstheme="minorHAnsi"/>
          <w:b/>
          <w:bCs/>
          <w:sz w:val="22"/>
          <w:szCs w:val="22"/>
        </w:rPr>
        <w:t>.</w:t>
      </w:r>
      <w:r w:rsidRPr="00B76717">
        <w:rPr>
          <w:rFonts w:cstheme="minorHAnsi"/>
          <w:b/>
          <w:bCs/>
          <w:sz w:val="22"/>
          <w:szCs w:val="22"/>
        </w:rPr>
        <w:br/>
        <w:t>«</w:t>
      </w:r>
      <w:r w:rsidRPr="00B76717">
        <w:rPr>
          <w:rFonts w:cstheme="minorHAnsi"/>
          <w:b/>
          <w:bCs/>
          <w:sz w:val="22"/>
          <w:szCs w:val="22"/>
          <w:rtl/>
        </w:rPr>
        <w:t xml:space="preserve">عَنْ عَمَّارٍ السَّابَاطِيِّ عَنْ أَبِي عَبْدِ اللَّهِ ع قَالَ: سَأَلْتُهُ عَنِ الْغُلَامِ مَتَى تَجِبُ عَلَيْهِ الصَّلَاةُ- فَقَالَ إِذَا أَتَى عَلَيْهِ ثَلَاثَ عَشْرَةَ سَنَةً فإن احتلم قبل ذلك فقد وجبت عليه الصلاة، وجرى عليه القلم، والجارية مثل ذلك إن أتى لها ثلاث عشرة سنة، أو حاضت قبل ذلك، </w:t>
      </w:r>
      <w:r w:rsidRPr="00B76717">
        <w:rPr>
          <w:rFonts w:cstheme="minorHAnsi"/>
          <w:b/>
          <w:bCs/>
          <w:sz w:val="22"/>
          <w:szCs w:val="22"/>
          <w:rtl/>
        </w:rPr>
        <w:lastRenderedPageBreak/>
        <w:t>فقد وجبت عليها الصلاة، وجرى عليها القلم</w:t>
      </w:r>
      <w:r w:rsidRPr="00B76717">
        <w:rPr>
          <w:rFonts w:cstheme="minorHAnsi"/>
          <w:b/>
          <w:bCs/>
          <w:sz w:val="22"/>
          <w:szCs w:val="22"/>
        </w:rPr>
        <w:t>.»</w:t>
      </w:r>
      <w:bookmarkStart w:id="4" w:name="_ftnref5"/>
      <w:r w:rsidRPr="00B76717">
        <w:rPr>
          <w:rFonts w:cstheme="minorHAnsi"/>
          <w:b/>
          <w:bCs/>
          <w:sz w:val="22"/>
          <w:szCs w:val="22"/>
        </w:rPr>
        <w:fldChar w:fldCharType="begin"/>
      </w:r>
      <w:r w:rsidRPr="00B76717">
        <w:rPr>
          <w:rFonts w:cstheme="minorHAnsi"/>
          <w:b/>
          <w:bCs/>
          <w:sz w:val="22"/>
          <w:szCs w:val="22"/>
        </w:rPr>
        <w:instrText>HYPERLINK "https://eshia.ir/feqh/archive/text/jazayeri/feqh/93/940123/" \l "_ftn5" \o "</w:instrText>
      </w:r>
      <w:r w:rsidRPr="00B76717">
        <w:rPr>
          <w:rFonts w:cstheme="minorHAnsi"/>
          <w:b/>
          <w:bCs/>
          <w:sz w:val="22"/>
          <w:szCs w:val="22"/>
          <w:rtl/>
        </w:rPr>
        <w:instrText>وسائل الشیعه،</w:instrText>
      </w:r>
      <w:r w:rsidRPr="00B76717">
        <w:rPr>
          <w:rFonts w:cstheme="minorHAnsi"/>
          <w:b/>
          <w:bCs/>
          <w:sz w:val="22"/>
          <w:szCs w:val="22"/>
        </w:rPr>
        <w:instrText xml:space="preserve">
</w:instrText>
      </w:r>
      <w:r w:rsidRPr="00B76717">
        <w:rPr>
          <w:rFonts w:cstheme="minorHAnsi"/>
          <w:b/>
          <w:bCs/>
          <w:sz w:val="22"/>
          <w:szCs w:val="22"/>
          <w:rtl/>
        </w:rPr>
        <w:instrText>شیخ حر عاملی، ج 1، ص 45، ابواب مقدمه العبادات، باب4، شماره 82، ح12،ط</w:instrText>
      </w:r>
      <w:r w:rsidRPr="00B76717">
        <w:rPr>
          <w:rFonts w:cstheme="minorHAnsi"/>
          <w:b/>
          <w:bCs/>
          <w:sz w:val="22"/>
          <w:szCs w:val="22"/>
        </w:rPr>
        <w:instrText xml:space="preserve">
</w:instrText>
      </w:r>
      <w:r w:rsidRPr="00B76717">
        <w:rPr>
          <w:rFonts w:cstheme="minorHAnsi"/>
          <w:b/>
          <w:bCs/>
          <w:sz w:val="22"/>
          <w:szCs w:val="22"/>
          <w:rtl/>
        </w:rPr>
        <w:instrText>آل البیت</w:instrText>
      </w:r>
      <w:r w:rsidRPr="00B76717">
        <w:rPr>
          <w:rFonts w:cstheme="minorHAnsi"/>
          <w:b/>
          <w:bCs/>
          <w:sz w:val="22"/>
          <w:szCs w:val="22"/>
        </w:rPr>
        <w:instrText>."</w:instrText>
      </w:r>
      <w:r w:rsidRPr="00B76717">
        <w:rPr>
          <w:rFonts w:cstheme="minorHAnsi"/>
          <w:b/>
          <w:bCs/>
          <w:sz w:val="22"/>
          <w:szCs w:val="22"/>
        </w:rPr>
      </w:r>
      <w:r w:rsidRPr="00B76717">
        <w:rPr>
          <w:rFonts w:cstheme="minorHAnsi"/>
          <w:b/>
          <w:bCs/>
          <w:sz w:val="22"/>
          <w:szCs w:val="22"/>
        </w:rPr>
        <w:fldChar w:fldCharType="separate"/>
      </w:r>
      <w:r w:rsidRPr="00B76717">
        <w:rPr>
          <w:rStyle w:val="Hyperlink"/>
          <w:rFonts w:cstheme="minorHAnsi"/>
          <w:b/>
          <w:bCs/>
          <w:sz w:val="22"/>
          <w:szCs w:val="22"/>
        </w:rPr>
        <w:t>[5]</w:t>
      </w:r>
      <w:r w:rsidRPr="00B76717">
        <w:rPr>
          <w:rFonts w:cstheme="minorHAnsi"/>
          <w:b/>
          <w:bCs/>
          <w:sz w:val="22"/>
          <w:szCs w:val="22"/>
        </w:rPr>
        <w:fldChar w:fldCharType="end"/>
      </w:r>
      <w:bookmarkEnd w:id="4"/>
      <w:r w:rsidRPr="00B76717">
        <w:rPr>
          <w:rFonts w:cstheme="minorHAnsi"/>
          <w:b/>
          <w:bCs/>
          <w:sz w:val="22"/>
          <w:szCs w:val="22"/>
        </w:rPr>
        <w:br/>
      </w:r>
      <w:r w:rsidRPr="00B76717">
        <w:rPr>
          <w:rFonts w:cstheme="minorHAnsi"/>
          <w:b/>
          <w:bCs/>
          <w:sz w:val="22"/>
          <w:szCs w:val="22"/>
          <w:rtl/>
        </w:rPr>
        <w:t>اشکال این روایت خلاف مشهور بودن از جهت مماثلت سن بلوغ در زنان و مردان است در حالی که مشهور قائل به تقدم زنان بر مردان با اختلاف زیاد می باشند</w:t>
      </w:r>
      <w:r w:rsidRPr="00B76717">
        <w:rPr>
          <w:rFonts w:cstheme="minorHAnsi"/>
          <w:b/>
          <w:bCs/>
          <w:sz w:val="22"/>
          <w:szCs w:val="22"/>
        </w:rPr>
        <w:t>.</w:t>
      </w:r>
      <w:r w:rsidRPr="00B76717">
        <w:rPr>
          <w:rFonts w:cstheme="minorHAnsi"/>
          <w:b/>
          <w:bCs/>
          <w:sz w:val="22"/>
          <w:szCs w:val="22"/>
        </w:rPr>
        <w:br/>
      </w:r>
      <w:r w:rsidRPr="00B76717">
        <w:rPr>
          <w:rFonts w:cstheme="minorHAnsi"/>
          <w:b/>
          <w:bCs/>
          <w:sz w:val="22"/>
          <w:szCs w:val="22"/>
          <w:rtl/>
        </w:rPr>
        <w:t>دلیل دیگر ایشان صحیحه عبدالله بن سنان است</w:t>
      </w:r>
      <w:r w:rsidRPr="00B76717">
        <w:rPr>
          <w:rFonts w:cstheme="minorHAnsi"/>
          <w:b/>
          <w:bCs/>
          <w:sz w:val="22"/>
          <w:szCs w:val="22"/>
        </w:rPr>
        <w:br/>
        <w:t>«</w:t>
      </w:r>
      <w:r w:rsidRPr="00B76717">
        <w:rPr>
          <w:rFonts w:cstheme="minorHAnsi"/>
          <w:b/>
          <w:bCs/>
          <w:sz w:val="22"/>
          <w:szCs w:val="22"/>
          <w:rtl/>
        </w:rPr>
        <w:t>عَنْ عِدَّةٍ مِنْ أَصْحَابِنَا عَنْ أَحْمَدَ بْنِ مُحَمَّدِ بْنِ عِيسَى عَنِ الْوَشَّاءِ عَنْ عَبْدِ اللَّهِ بْنِ سِنَانٍ عَنْ أَبِي عَبْدِ اللَّهِ ع قَالَ: إِذَا بَلَغَ أَشُدَّهُ ثَلَاثَ عَشْرَةَ سَنَةً وَ دَخَلَ فِي الْأَرْبَعَ عَشْرَةَ- وَجَبَ عَلَيْهِ مَا وَجَبَ عَلَى الْمُسْلِمِينَ- احْتَلَمَ أَمْ لَمْ يَحْتَلِمْ- وَ كُتِبَتْ عَلَيْهِ السَّيِّئَاتُ- وَ كُتِبَتْ لَهُ الْحَسَنَاتُ- وَ جَازَ لَهُ كُلُّ شَيْ‌ءٍ إِلَّا أَنْ يَكُونَ ضَعِيفاً أَوْ سَفِيهاً</w:t>
      </w:r>
      <w:r w:rsidRPr="00B76717">
        <w:rPr>
          <w:rFonts w:cstheme="minorHAnsi"/>
          <w:b/>
          <w:bCs/>
          <w:sz w:val="22"/>
          <w:szCs w:val="22"/>
        </w:rPr>
        <w:t>.»</w:t>
      </w:r>
      <w:bookmarkStart w:id="5" w:name="_ftnref6"/>
      <w:r w:rsidRPr="00B76717">
        <w:rPr>
          <w:rFonts w:cstheme="minorHAnsi"/>
          <w:b/>
          <w:bCs/>
          <w:sz w:val="22"/>
          <w:szCs w:val="22"/>
        </w:rPr>
        <w:fldChar w:fldCharType="begin"/>
      </w:r>
      <w:r w:rsidRPr="00B76717">
        <w:rPr>
          <w:rFonts w:cstheme="minorHAnsi"/>
          <w:b/>
          <w:bCs/>
          <w:sz w:val="22"/>
          <w:szCs w:val="22"/>
        </w:rPr>
        <w:instrText>HYPERLINK "https://eshia.ir/feqh/archive/text/jazayeri/feqh/93/940123/" \l "_ftn6" \o "</w:instrText>
      </w:r>
      <w:r w:rsidRPr="00B76717">
        <w:rPr>
          <w:rFonts w:cstheme="minorHAnsi"/>
          <w:b/>
          <w:bCs/>
          <w:sz w:val="22"/>
          <w:szCs w:val="22"/>
          <w:rtl/>
        </w:rPr>
        <w:instrText>وسائل الشیعه،</w:instrText>
      </w:r>
      <w:r w:rsidRPr="00B76717">
        <w:rPr>
          <w:rFonts w:cstheme="minorHAnsi"/>
          <w:b/>
          <w:bCs/>
          <w:sz w:val="22"/>
          <w:szCs w:val="22"/>
        </w:rPr>
        <w:instrText xml:space="preserve">
</w:instrText>
      </w:r>
      <w:r w:rsidRPr="00B76717">
        <w:rPr>
          <w:rFonts w:cstheme="minorHAnsi"/>
          <w:b/>
          <w:bCs/>
          <w:sz w:val="22"/>
          <w:szCs w:val="22"/>
          <w:rtl/>
        </w:rPr>
        <w:instrText>شیخ حر عاملی، ج 17، ص 361، ابواب عقد البیع و شروطه، باب14،</w:instrText>
      </w:r>
      <w:r w:rsidRPr="00B76717">
        <w:rPr>
          <w:rFonts w:cstheme="minorHAnsi"/>
          <w:b/>
          <w:bCs/>
          <w:sz w:val="22"/>
          <w:szCs w:val="22"/>
        </w:rPr>
        <w:instrText xml:space="preserve">
</w:instrText>
      </w:r>
      <w:r w:rsidRPr="00B76717">
        <w:rPr>
          <w:rFonts w:cstheme="minorHAnsi"/>
          <w:b/>
          <w:bCs/>
          <w:sz w:val="22"/>
          <w:szCs w:val="22"/>
          <w:rtl/>
        </w:rPr>
        <w:instrText>شماره 22753، 3،ط آل البیت</w:instrText>
      </w:r>
      <w:r w:rsidRPr="00B76717">
        <w:rPr>
          <w:rFonts w:cstheme="minorHAnsi"/>
          <w:b/>
          <w:bCs/>
          <w:sz w:val="22"/>
          <w:szCs w:val="22"/>
        </w:rPr>
        <w:instrText>."</w:instrText>
      </w:r>
      <w:r w:rsidRPr="00B76717">
        <w:rPr>
          <w:rFonts w:cstheme="minorHAnsi"/>
          <w:b/>
          <w:bCs/>
          <w:sz w:val="22"/>
          <w:szCs w:val="22"/>
        </w:rPr>
      </w:r>
      <w:r w:rsidRPr="00B76717">
        <w:rPr>
          <w:rFonts w:cstheme="minorHAnsi"/>
          <w:b/>
          <w:bCs/>
          <w:sz w:val="22"/>
          <w:szCs w:val="22"/>
        </w:rPr>
        <w:fldChar w:fldCharType="separate"/>
      </w:r>
      <w:r w:rsidRPr="00B76717">
        <w:rPr>
          <w:rStyle w:val="Hyperlink"/>
          <w:rFonts w:cstheme="minorHAnsi"/>
          <w:b/>
          <w:bCs/>
          <w:sz w:val="22"/>
          <w:szCs w:val="22"/>
        </w:rPr>
        <w:t>[6]</w:t>
      </w:r>
      <w:r w:rsidRPr="00B76717">
        <w:rPr>
          <w:rFonts w:cstheme="minorHAnsi"/>
          <w:b/>
          <w:bCs/>
          <w:sz w:val="22"/>
          <w:szCs w:val="22"/>
        </w:rPr>
        <w:fldChar w:fldCharType="end"/>
      </w:r>
      <w:bookmarkEnd w:id="5"/>
      <w:r w:rsidRPr="00B76717">
        <w:rPr>
          <w:rFonts w:cstheme="minorHAnsi"/>
          <w:b/>
          <w:bCs/>
          <w:sz w:val="22"/>
          <w:szCs w:val="22"/>
        </w:rPr>
        <w:br/>
      </w:r>
      <w:r w:rsidRPr="00B76717">
        <w:rPr>
          <w:rFonts w:cstheme="minorHAnsi"/>
          <w:b/>
          <w:bCs/>
          <w:sz w:val="22"/>
          <w:szCs w:val="22"/>
          <w:rtl/>
        </w:rPr>
        <w:t>تعارض روایات سیزده و پانزده سالگی</w:t>
      </w:r>
      <w:r w:rsidRPr="00B76717">
        <w:rPr>
          <w:rFonts w:cstheme="minorHAnsi"/>
          <w:b/>
          <w:bCs/>
          <w:sz w:val="22"/>
          <w:szCs w:val="22"/>
        </w:rPr>
        <w:br/>
      </w:r>
      <w:r w:rsidRPr="00B76717">
        <w:rPr>
          <w:rFonts w:cstheme="minorHAnsi"/>
          <w:b/>
          <w:bCs/>
          <w:sz w:val="22"/>
          <w:szCs w:val="22"/>
          <w:rtl/>
        </w:rPr>
        <w:t>روایت صحیحه است و همه روات آن از اجلاء اصحابند. لذا بر قول اخیر دو روایت معتبره دلالت دارند. لکن اشکال این دو روایت اعراض مشهور و معارضه این دو روایت با طایفه اول یعنی روایات دال بر اتمام پانزده سال که مورد عمل قرار گرفته و قول بر اساس آنها مشهور است، می باشد</w:t>
      </w:r>
      <w:r w:rsidRPr="00B76717">
        <w:rPr>
          <w:rFonts w:cstheme="minorHAnsi"/>
          <w:b/>
          <w:bCs/>
          <w:sz w:val="22"/>
          <w:szCs w:val="22"/>
        </w:rPr>
        <w:t>.</w:t>
      </w:r>
      <w:r w:rsidRPr="00B76717">
        <w:rPr>
          <w:rFonts w:cstheme="minorHAnsi"/>
          <w:b/>
          <w:bCs/>
          <w:sz w:val="22"/>
          <w:szCs w:val="22"/>
        </w:rPr>
        <w:br/>
      </w:r>
      <w:r w:rsidRPr="00B76717">
        <w:rPr>
          <w:rFonts w:cstheme="minorHAnsi"/>
          <w:b/>
          <w:bCs/>
          <w:sz w:val="22"/>
          <w:szCs w:val="22"/>
          <w:rtl/>
        </w:rPr>
        <w:t>بعد از معارضه نیز اگر قائل به کاسر بودن اعراض و جابر بودن عمل اصحاب شویم، مطلب واضح است. اما در غیر این صورت همچون سید خویی باید قائل به معارضه و تساقط دو طائفه شویم و دراین صورت باید به عمومات فوقانی رجوع نمود. عموم عام نیز آیات قرآنی می باشند که با غایت دلالت بر مفهوم عدم حصول بلوغ بدون احتلام دارند. در روایت هم آمده که قلم تکلیف تا زمان احتلام از صبی بر داشته شده. بنا بر این تا زمانی که احتلام صورت نگرفته باشد در هیچ سنی حکم به بلوغ نمی شود. لذا ثمره این مطلب در جایی معلوم می شود که شخص محتلم نشده و به سیزده سالگی رسیده باشد، در این حال در بلوغ او شک می کنیم؛ زیرا قدر متیقن بلوغ در پانزده سالگی است که دو سال بیشتر می باشد. پس در صورت شک به عموم مفهوم «حتی یحتلم» مراجعه می کنیم. در صورت عدم احتلام نیز قدر متیقن یعنی همان پانزده سال که حد اعلای سن بلوغ است غایت خواهد بود</w:t>
      </w:r>
      <w:r w:rsidRPr="00B76717">
        <w:rPr>
          <w:rFonts w:cstheme="minorHAnsi"/>
          <w:b/>
          <w:bCs/>
          <w:sz w:val="22"/>
          <w:szCs w:val="22"/>
        </w:rPr>
        <w:t>.</w:t>
      </w:r>
    </w:p>
    <w:p w14:paraId="5C727F22" w14:textId="77777777" w:rsidR="00B76717" w:rsidRPr="00B76717" w:rsidRDefault="00B76717" w:rsidP="00B76717">
      <w:pPr>
        <w:jc w:val="right"/>
      </w:pPr>
    </w:p>
    <w:p w14:paraId="2F84156B" w14:textId="77777777" w:rsidR="00B76717" w:rsidRPr="00B76717" w:rsidRDefault="00B76717" w:rsidP="00B76717">
      <w:pPr>
        <w:jc w:val="right"/>
      </w:pPr>
      <w:r w:rsidRPr="00B76717">
        <w:pict w14:anchorId="3221A82B">
          <v:rect id="_x0000_i1043" style="width:0;height:1.5pt" o:hralign="right" o:hrstd="t" o:hr="t" fillcolor="#a0a0a0" stroked="f"/>
        </w:pict>
      </w:r>
    </w:p>
    <w:bookmarkStart w:id="6" w:name="_ftn1"/>
    <w:p w14:paraId="79366A15" w14:textId="77777777" w:rsidR="00B76717" w:rsidRPr="00B76717" w:rsidRDefault="00B76717" w:rsidP="00B76717">
      <w:pPr>
        <w:jc w:val="right"/>
      </w:pPr>
      <w:r w:rsidRPr="00B76717">
        <w:fldChar w:fldCharType="begin"/>
      </w:r>
      <w:r w:rsidRPr="00B76717">
        <w:instrText>HYPERLINK "https://eshia.ir/feqh/archive/text/jazayeri/feqh/93/940123/" \l "_ftnref1" \o ""</w:instrText>
      </w:r>
      <w:r w:rsidRPr="00B76717">
        <w:fldChar w:fldCharType="separate"/>
      </w:r>
      <w:r w:rsidRPr="00B76717">
        <w:rPr>
          <w:rStyle w:val="Hyperlink"/>
        </w:rPr>
        <w:t>[1]</w:t>
      </w:r>
      <w:r w:rsidRPr="00B76717">
        <w:fldChar w:fldCharType="end"/>
      </w:r>
      <w:bookmarkEnd w:id="6"/>
      <w:r w:rsidRPr="00B76717">
        <w:t> </w:t>
      </w:r>
      <w:hyperlink r:id="rId4" w:tgtFrame="_blank" w:tooltip="سوره شماره 6 ام انعام صفحه 149" w:history="1">
        <w:r w:rsidRPr="00B76717">
          <w:rPr>
            <w:rStyle w:val="Hyperlink"/>
            <w:rtl/>
          </w:rPr>
          <w:t>انعام/سوره6، آیه152</w:t>
        </w:r>
        <w:r w:rsidRPr="00B76717">
          <w:rPr>
            <w:rStyle w:val="Hyperlink"/>
          </w:rPr>
          <w:t>.</w:t>
        </w:r>
      </w:hyperlink>
    </w:p>
    <w:bookmarkStart w:id="7" w:name="_ftn2"/>
    <w:p w14:paraId="37909B05" w14:textId="77777777" w:rsidR="00B76717" w:rsidRPr="00B76717" w:rsidRDefault="00B76717" w:rsidP="00B76717">
      <w:pPr>
        <w:jc w:val="right"/>
      </w:pPr>
      <w:r w:rsidRPr="00B76717">
        <w:fldChar w:fldCharType="begin"/>
      </w:r>
      <w:r w:rsidRPr="00B76717">
        <w:instrText>HYPERLINK "https://eshia.ir/feqh/archive/text/jazayeri/feqh/93/940123/" \l "_ftnref2" \o ""</w:instrText>
      </w:r>
      <w:r w:rsidRPr="00B76717">
        <w:fldChar w:fldCharType="separate"/>
      </w:r>
      <w:r w:rsidRPr="00B76717">
        <w:rPr>
          <w:rStyle w:val="Hyperlink"/>
        </w:rPr>
        <w:t>[2]</w:t>
      </w:r>
      <w:r w:rsidRPr="00B76717">
        <w:fldChar w:fldCharType="end"/>
      </w:r>
      <w:bookmarkEnd w:id="7"/>
      <w:r w:rsidRPr="00B76717">
        <w:t> </w:t>
      </w:r>
      <w:hyperlink r:id="rId5" w:tgtFrame="_blank" w:history="1">
        <w:r w:rsidRPr="00B76717">
          <w:rPr>
            <w:rStyle w:val="Hyperlink"/>
            <w:rtl/>
          </w:rPr>
          <w:t>وسائل الشیعه، شیخ حر عاملی، ج 17، ص 360، ابواب عقد البیع و شروطه، باب14، شماره 22751، ح1،ط آل البیت</w:t>
        </w:r>
        <w:r w:rsidRPr="00B76717">
          <w:rPr>
            <w:rStyle w:val="Hyperlink"/>
          </w:rPr>
          <w:t>.</w:t>
        </w:r>
      </w:hyperlink>
    </w:p>
    <w:bookmarkStart w:id="8" w:name="_ftn3"/>
    <w:p w14:paraId="4197DE2A" w14:textId="77777777" w:rsidR="00B76717" w:rsidRPr="00B76717" w:rsidRDefault="00B76717" w:rsidP="00B76717">
      <w:pPr>
        <w:jc w:val="right"/>
      </w:pPr>
      <w:r w:rsidRPr="00B76717">
        <w:fldChar w:fldCharType="begin"/>
      </w:r>
      <w:r w:rsidRPr="00B76717">
        <w:instrText>HYPERLINK "https://eshia.ir/feqh/archive/text/jazayeri/feqh/93/940123/" \l "_ftnref3" \o ""</w:instrText>
      </w:r>
      <w:r w:rsidRPr="00B76717">
        <w:fldChar w:fldCharType="separate"/>
      </w:r>
      <w:r w:rsidRPr="00B76717">
        <w:rPr>
          <w:rStyle w:val="Hyperlink"/>
        </w:rPr>
        <w:t>[3]</w:t>
      </w:r>
      <w:r w:rsidRPr="00B76717">
        <w:fldChar w:fldCharType="end"/>
      </w:r>
      <w:bookmarkEnd w:id="8"/>
      <w:r w:rsidRPr="00B76717">
        <w:t> </w:t>
      </w:r>
      <w:hyperlink r:id="rId6" w:tgtFrame="_blank" w:history="1">
        <w:r w:rsidRPr="00B76717">
          <w:rPr>
            <w:rStyle w:val="Hyperlink"/>
            <w:rtl/>
          </w:rPr>
          <w:t>وسائل الشیعه، شیخ حر عاملی، ج 20، ص 278، ابواب عقد النکاح و اولیاء العقد، باب6، شماره 25626، ح1،ط آل البیت</w:t>
        </w:r>
        <w:r w:rsidRPr="00B76717">
          <w:rPr>
            <w:rStyle w:val="Hyperlink"/>
          </w:rPr>
          <w:t>.</w:t>
        </w:r>
      </w:hyperlink>
    </w:p>
    <w:bookmarkStart w:id="9" w:name="_ftn4"/>
    <w:p w14:paraId="7A32D8CE" w14:textId="77777777" w:rsidR="00B76717" w:rsidRPr="00B76717" w:rsidRDefault="00B76717" w:rsidP="00B76717">
      <w:pPr>
        <w:jc w:val="right"/>
      </w:pPr>
      <w:r w:rsidRPr="00B76717">
        <w:fldChar w:fldCharType="begin"/>
      </w:r>
      <w:r w:rsidRPr="00B76717">
        <w:instrText>HYPERLINK "https://eshia.ir/feqh/archive/text/jazayeri/feqh/93/940123/" \l "_ftnref4" \o ""</w:instrText>
      </w:r>
      <w:r w:rsidRPr="00B76717">
        <w:fldChar w:fldCharType="separate"/>
      </w:r>
      <w:r w:rsidRPr="00B76717">
        <w:rPr>
          <w:rStyle w:val="Hyperlink"/>
        </w:rPr>
        <w:t>[4]</w:t>
      </w:r>
      <w:r w:rsidRPr="00B76717">
        <w:fldChar w:fldCharType="end"/>
      </w:r>
      <w:bookmarkEnd w:id="9"/>
      <w:r w:rsidRPr="00B76717">
        <w:t> </w:t>
      </w:r>
      <w:hyperlink r:id="rId7" w:tgtFrame="_blank" w:history="1">
        <w:r w:rsidRPr="00B76717">
          <w:rPr>
            <w:rStyle w:val="Hyperlink"/>
            <w:rtl/>
          </w:rPr>
          <w:t>وسائل الشیعه، شیخ حر عاملی، ج 19، ص 367، کتاب الوصایا، باب45، شماره 24775، ح3،ط آل البیت</w:t>
        </w:r>
        <w:r w:rsidRPr="00B76717">
          <w:rPr>
            <w:rStyle w:val="Hyperlink"/>
          </w:rPr>
          <w:t>.</w:t>
        </w:r>
      </w:hyperlink>
    </w:p>
    <w:bookmarkStart w:id="10" w:name="_ftn5"/>
    <w:p w14:paraId="0BB45817" w14:textId="77777777" w:rsidR="00B76717" w:rsidRPr="00B76717" w:rsidRDefault="00B76717" w:rsidP="00B76717">
      <w:pPr>
        <w:jc w:val="right"/>
      </w:pPr>
      <w:r w:rsidRPr="00B76717">
        <w:fldChar w:fldCharType="begin"/>
      </w:r>
      <w:r w:rsidRPr="00B76717">
        <w:instrText>HYPERLINK "https://eshia.ir/feqh/archive/text/jazayeri/feqh/93/940123/" \l "_ftnref5" \o ""</w:instrText>
      </w:r>
      <w:r w:rsidRPr="00B76717">
        <w:fldChar w:fldCharType="separate"/>
      </w:r>
      <w:r w:rsidRPr="00B76717">
        <w:rPr>
          <w:rStyle w:val="Hyperlink"/>
        </w:rPr>
        <w:t>[5]</w:t>
      </w:r>
      <w:r w:rsidRPr="00B76717">
        <w:fldChar w:fldCharType="end"/>
      </w:r>
      <w:bookmarkEnd w:id="10"/>
      <w:r w:rsidRPr="00B76717">
        <w:t> </w:t>
      </w:r>
      <w:hyperlink r:id="rId8" w:tgtFrame="_blank" w:history="1">
        <w:r w:rsidRPr="00B76717">
          <w:rPr>
            <w:rStyle w:val="Hyperlink"/>
            <w:rtl/>
          </w:rPr>
          <w:t>وسائل الشیعه، شیخ حر عاملی، ج 1، ص 45، ابواب مقدمه العبادات، باب4، شماره 82، ح12،ط آل البیت</w:t>
        </w:r>
        <w:r w:rsidRPr="00B76717">
          <w:rPr>
            <w:rStyle w:val="Hyperlink"/>
          </w:rPr>
          <w:t>.</w:t>
        </w:r>
      </w:hyperlink>
    </w:p>
    <w:bookmarkStart w:id="11" w:name="_ftn6"/>
    <w:p w14:paraId="20A42A92" w14:textId="77777777" w:rsidR="00B76717" w:rsidRPr="00B76717" w:rsidRDefault="00B76717" w:rsidP="00B76717">
      <w:pPr>
        <w:jc w:val="right"/>
      </w:pPr>
      <w:r w:rsidRPr="00B76717">
        <w:fldChar w:fldCharType="begin"/>
      </w:r>
      <w:r w:rsidRPr="00B76717">
        <w:instrText>HYPERLINK "https://eshia.ir/feqh/archive/text/jazayeri/feqh/93/940123/" \l "_ftnref6" \o ""</w:instrText>
      </w:r>
      <w:r w:rsidRPr="00B76717">
        <w:fldChar w:fldCharType="separate"/>
      </w:r>
      <w:r w:rsidRPr="00B76717">
        <w:rPr>
          <w:rStyle w:val="Hyperlink"/>
        </w:rPr>
        <w:t>[6]</w:t>
      </w:r>
      <w:r w:rsidRPr="00B76717">
        <w:fldChar w:fldCharType="end"/>
      </w:r>
      <w:bookmarkEnd w:id="11"/>
      <w:r w:rsidRPr="00B76717">
        <w:t> </w:t>
      </w:r>
      <w:hyperlink r:id="rId9" w:tgtFrame="_blank" w:history="1">
        <w:r w:rsidRPr="00B76717">
          <w:rPr>
            <w:rStyle w:val="Hyperlink"/>
            <w:rtl/>
          </w:rPr>
          <w:t>وسائل الشیعه، شیخ حر عاملی، ج 17، ص 361، ابواب عقد البیع و شروطه، باب14، شماره 22753، 3،ط آل البیت</w:t>
        </w:r>
        <w:r w:rsidRPr="00B76717">
          <w:rPr>
            <w:rStyle w:val="Hyperlink"/>
          </w:rPr>
          <w:t>.</w:t>
        </w:r>
      </w:hyperlink>
    </w:p>
    <w:p w14:paraId="5A32C904" w14:textId="77777777" w:rsidR="00E404DB" w:rsidRPr="00B76717" w:rsidRDefault="00E404DB" w:rsidP="00B76717">
      <w:pPr>
        <w:jc w:val="right"/>
      </w:pPr>
    </w:p>
    <w:sectPr w:rsidR="00E404DB" w:rsidRPr="00B7671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Variable UltraBold">
    <w:panose1 w:val="00000500000000000000"/>
    <w:charset w:val="00"/>
    <w:family w:val="auto"/>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36E0"/>
    <w:rsid w:val="00005F60"/>
    <w:rsid w:val="005536E0"/>
    <w:rsid w:val="00963D73"/>
    <w:rsid w:val="00B76717"/>
    <w:rsid w:val="00C762A8"/>
    <w:rsid w:val="00E404D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E8D192"/>
  <w15:chartTrackingRefBased/>
  <w15:docId w15:val="{37B13D76-3AC4-4157-AFD2-BD57B79097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536E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536E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536E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536E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536E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536E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536E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536E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536E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536E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536E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536E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536E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536E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536E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536E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536E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536E0"/>
    <w:rPr>
      <w:rFonts w:eastAsiaTheme="majorEastAsia" w:cstheme="majorBidi"/>
      <w:color w:val="272727" w:themeColor="text1" w:themeTint="D8"/>
    </w:rPr>
  </w:style>
  <w:style w:type="paragraph" w:styleId="Title">
    <w:name w:val="Title"/>
    <w:basedOn w:val="Normal"/>
    <w:next w:val="Normal"/>
    <w:link w:val="TitleChar"/>
    <w:uiPriority w:val="10"/>
    <w:qFormat/>
    <w:rsid w:val="005536E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536E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536E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536E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536E0"/>
    <w:pPr>
      <w:spacing w:before="160"/>
      <w:jc w:val="center"/>
    </w:pPr>
    <w:rPr>
      <w:i/>
      <w:iCs/>
      <w:color w:val="404040" w:themeColor="text1" w:themeTint="BF"/>
    </w:rPr>
  </w:style>
  <w:style w:type="character" w:customStyle="1" w:styleId="QuoteChar">
    <w:name w:val="Quote Char"/>
    <w:basedOn w:val="DefaultParagraphFont"/>
    <w:link w:val="Quote"/>
    <w:uiPriority w:val="29"/>
    <w:rsid w:val="005536E0"/>
    <w:rPr>
      <w:i/>
      <w:iCs/>
      <w:color w:val="404040" w:themeColor="text1" w:themeTint="BF"/>
    </w:rPr>
  </w:style>
  <w:style w:type="paragraph" w:styleId="ListParagraph">
    <w:name w:val="List Paragraph"/>
    <w:basedOn w:val="Normal"/>
    <w:uiPriority w:val="34"/>
    <w:qFormat/>
    <w:rsid w:val="005536E0"/>
    <w:pPr>
      <w:ind w:left="720"/>
      <w:contextualSpacing/>
    </w:pPr>
  </w:style>
  <w:style w:type="character" w:styleId="IntenseEmphasis">
    <w:name w:val="Intense Emphasis"/>
    <w:basedOn w:val="DefaultParagraphFont"/>
    <w:uiPriority w:val="21"/>
    <w:qFormat/>
    <w:rsid w:val="005536E0"/>
    <w:rPr>
      <w:i/>
      <w:iCs/>
      <w:color w:val="2F5496" w:themeColor="accent1" w:themeShade="BF"/>
    </w:rPr>
  </w:style>
  <w:style w:type="paragraph" w:styleId="IntenseQuote">
    <w:name w:val="Intense Quote"/>
    <w:basedOn w:val="Normal"/>
    <w:next w:val="Normal"/>
    <w:link w:val="IntenseQuoteChar"/>
    <w:uiPriority w:val="30"/>
    <w:qFormat/>
    <w:rsid w:val="005536E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536E0"/>
    <w:rPr>
      <w:i/>
      <w:iCs/>
      <w:color w:val="2F5496" w:themeColor="accent1" w:themeShade="BF"/>
    </w:rPr>
  </w:style>
  <w:style w:type="character" w:styleId="IntenseReference">
    <w:name w:val="Intense Reference"/>
    <w:basedOn w:val="DefaultParagraphFont"/>
    <w:uiPriority w:val="32"/>
    <w:qFormat/>
    <w:rsid w:val="005536E0"/>
    <w:rPr>
      <w:b/>
      <w:bCs/>
      <w:smallCaps/>
      <w:color w:val="2F5496" w:themeColor="accent1" w:themeShade="BF"/>
      <w:spacing w:val="5"/>
    </w:rPr>
  </w:style>
  <w:style w:type="character" w:styleId="Hyperlink">
    <w:name w:val="Hyperlink"/>
    <w:basedOn w:val="DefaultParagraphFont"/>
    <w:uiPriority w:val="99"/>
    <w:unhideWhenUsed/>
    <w:rsid w:val="00B76717"/>
    <w:rPr>
      <w:color w:val="0563C1" w:themeColor="hyperlink"/>
      <w:u w:val="single"/>
    </w:rPr>
  </w:style>
  <w:style w:type="character" w:styleId="UnresolvedMention">
    <w:name w:val="Unresolved Mention"/>
    <w:basedOn w:val="DefaultParagraphFont"/>
    <w:uiPriority w:val="99"/>
    <w:semiHidden/>
    <w:unhideWhenUsed/>
    <w:rsid w:val="00B7671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lib.eshia.ir/11025/1/45/%D8%AA%D8%AC%D8%A8" TargetMode="External"/><Relationship Id="rId3" Type="http://schemas.openxmlformats.org/officeDocument/2006/relationships/webSettings" Target="webSettings.xml"/><Relationship Id="rId7" Type="http://schemas.openxmlformats.org/officeDocument/2006/relationships/hyperlink" Target="http://lib.eshia.ir/11025/19/367/%D8%AA%D8%AC%D8%B1%DB%8C"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lib.eshia.ir/11025/20/278/%D8%AE%D8%A7%D9%84%D8%AF" TargetMode="External"/><Relationship Id="rId11" Type="http://schemas.openxmlformats.org/officeDocument/2006/relationships/theme" Target="theme/theme1.xml"/><Relationship Id="rId5" Type="http://schemas.openxmlformats.org/officeDocument/2006/relationships/hyperlink" Target="http://lib.eshia.ir/11025/17/360/%D8%B3%D9%86%DB%8C%D9%86" TargetMode="External"/><Relationship Id="rId10" Type="http://schemas.openxmlformats.org/officeDocument/2006/relationships/fontTable" Target="fontTable.xml"/><Relationship Id="rId4" Type="http://schemas.openxmlformats.org/officeDocument/2006/relationships/hyperlink" Target="http://lib.eshia.ir/17001/1/149/152" TargetMode="External"/><Relationship Id="rId9" Type="http://schemas.openxmlformats.org/officeDocument/2006/relationships/hyperlink" Target="http://lib.eshia.ir/11025/17/361/%D8%A3%D8%B4%D8%AF%D9%8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1293</Words>
  <Characters>7374</Characters>
  <Application>Microsoft Office Word</Application>
  <DocSecurity>0</DocSecurity>
  <Lines>61</Lines>
  <Paragraphs>17</Paragraphs>
  <ScaleCrop>false</ScaleCrop>
  <Company/>
  <LinksUpToDate>false</LinksUpToDate>
  <CharactersWithSpaces>8650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2025-11-26T22:39:00Z</dcterms:created>
  <dcterms:modified xsi:type="dcterms:W3CDTF">2025-11-26T22:40:00Z</dcterms:modified>
</cp:coreProperties>
</file>