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2ACF3" w14:textId="77777777" w:rsidR="003248B2" w:rsidRPr="003248B2" w:rsidRDefault="003248B2" w:rsidP="003248B2">
      <w:pPr>
        <w:jc w:val="center"/>
        <w:rPr>
          <w:rFonts w:ascii="AhangVariable UltraBold" w:hAnsi="AhangVariable UltraBold" w:cs="AhangVariable UltraBold"/>
          <w:u w:val="single"/>
        </w:rPr>
      </w:pPr>
      <w:r w:rsidRPr="003248B2">
        <w:rPr>
          <w:rFonts w:ascii="AhangVariable UltraBold" w:hAnsi="AhangVariable UltraBold" w:cs="AhangVariable UltraBold"/>
          <w:u w:val="single"/>
          <w:rtl/>
        </w:rPr>
        <w:t>موضوع </w:t>
      </w:r>
      <w:r w:rsidRPr="003248B2">
        <w:rPr>
          <w:rFonts w:ascii="AhangVariable UltraBold" w:hAnsi="AhangVariable UltraBold" w:cs="AhangVariable UltraBold"/>
          <w:u w:val="single"/>
        </w:rPr>
        <w:t>: </w:t>
      </w:r>
      <w:r w:rsidRPr="003248B2">
        <w:rPr>
          <w:rFonts w:ascii="AhangVariable UltraBold" w:hAnsi="AhangVariable UltraBold" w:cs="AhangVariable UltraBold"/>
          <w:u w:val="single"/>
          <w:rtl/>
        </w:rPr>
        <w:t>بانکداری اسلامی / عقود بانکی / اجاره / شروط متعاقدین/ بررسی شرطیت بلوغ متعاقدین</w:t>
      </w:r>
    </w:p>
    <w:p w14:paraId="4A89F706" w14:textId="1BD454B7" w:rsidR="003248B2" w:rsidRPr="003248B2" w:rsidRDefault="003248B2" w:rsidP="003248B2">
      <w:pPr>
        <w:jc w:val="right"/>
        <w:rPr>
          <w:rFonts w:cstheme="minorHAnsi"/>
          <w:b/>
          <w:bCs/>
          <w:sz w:val="22"/>
          <w:szCs w:val="22"/>
        </w:rPr>
      </w:pPr>
      <w:r w:rsidRPr="003248B2">
        <w:rPr>
          <w:rFonts w:cstheme="minorHAnsi"/>
          <w:b/>
          <w:bCs/>
          <w:sz w:val="22"/>
          <w:szCs w:val="22"/>
        </w:rPr>
        <w:br/>
      </w:r>
      <w:r w:rsidRPr="003248B2">
        <w:rPr>
          <w:rFonts w:cstheme="minorHAnsi"/>
          <w:b/>
          <w:bCs/>
          <w:sz w:val="22"/>
          <w:szCs w:val="22"/>
          <w:rtl/>
        </w:rPr>
        <w:t>روایات دال بر کفایت اکمال ده سال در صحت بعض امور</w:t>
      </w:r>
      <w:r w:rsidRPr="003248B2">
        <w:rPr>
          <w:rFonts w:cstheme="minorHAnsi"/>
          <w:b/>
          <w:bCs/>
          <w:sz w:val="22"/>
          <w:szCs w:val="22"/>
        </w:rPr>
        <w:br/>
      </w:r>
      <w:r w:rsidRPr="003248B2">
        <w:rPr>
          <w:rFonts w:cstheme="minorHAnsi"/>
          <w:b/>
          <w:bCs/>
          <w:sz w:val="22"/>
          <w:szCs w:val="22"/>
          <w:rtl/>
        </w:rPr>
        <w:t>در بعضی از روایات صحت بعضی از اعمال که اکثر آنها از ایقاعاتند منوط به اکمال ده سال دانسته شده. لکن هیچیک از فقها این سن را برای بلوغ کافی ندانسته و بلوغ نیز با آن صادق نیست. لذا حکمی که این روایات آن را بیان می کنند، حکمی تعبدی و مخصوص موارد خاص می باشد. از جمله این روایات، روایتی است که اشاره به صحت وصیت صبی بعد از اکمال ده سال دارد</w:t>
      </w:r>
      <w:r w:rsidRPr="003248B2">
        <w:rPr>
          <w:rFonts w:cstheme="minorHAnsi"/>
          <w:b/>
          <w:bCs/>
          <w:sz w:val="22"/>
          <w:szCs w:val="22"/>
        </w:rPr>
        <w:t>.</w:t>
      </w:r>
      <w:r w:rsidRPr="003248B2">
        <w:rPr>
          <w:rFonts w:cstheme="minorHAnsi"/>
          <w:b/>
          <w:bCs/>
          <w:sz w:val="22"/>
          <w:szCs w:val="22"/>
        </w:rPr>
        <w:br/>
        <w:t>«</w:t>
      </w:r>
      <w:r w:rsidRPr="003248B2">
        <w:rPr>
          <w:rFonts w:cstheme="minorHAnsi"/>
          <w:b/>
          <w:bCs/>
          <w:sz w:val="22"/>
          <w:szCs w:val="22"/>
          <w:rtl/>
        </w:rPr>
        <w:t>عن عبد الرحمن بن أبي عبدالله، عن أبي عبدالله ( عليه السلام ) ـ في حديث ـ قال : إذا بلغ الغلام عشر سنين جازت وصيته</w:t>
      </w:r>
      <w:r w:rsidRPr="003248B2">
        <w:rPr>
          <w:rFonts w:cstheme="minorHAnsi"/>
          <w:b/>
          <w:bCs/>
          <w:sz w:val="22"/>
          <w:szCs w:val="22"/>
        </w:rPr>
        <w:t>»</w:t>
      </w:r>
      <w:bookmarkStart w:id="0" w:name="_ftnref1"/>
      <w:r w:rsidRPr="003248B2">
        <w:rPr>
          <w:rFonts w:cstheme="minorHAnsi"/>
          <w:b/>
          <w:bCs/>
          <w:sz w:val="22"/>
          <w:szCs w:val="22"/>
        </w:rPr>
        <w:fldChar w:fldCharType="begin"/>
      </w:r>
      <w:r w:rsidRPr="003248B2">
        <w:rPr>
          <w:rFonts w:cstheme="minorHAnsi"/>
          <w:b/>
          <w:bCs/>
          <w:sz w:val="22"/>
          <w:szCs w:val="22"/>
        </w:rPr>
        <w:instrText>HYPERLINK "https://eshia.ir/feqh/archive/text/jazayeri/feqh/93/940124/" \l "_ftn1" \o "</w:instrText>
      </w:r>
      <w:r w:rsidRPr="003248B2">
        <w:rPr>
          <w:rFonts w:cstheme="minorHAnsi"/>
          <w:b/>
          <w:bCs/>
          <w:sz w:val="22"/>
          <w:szCs w:val="22"/>
          <w:rtl/>
        </w:rPr>
        <w:instrText>وسائل الشیعه،</w:instrText>
      </w:r>
      <w:r w:rsidRPr="003248B2">
        <w:rPr>
          <w:rFonts w:cstheme="minorHAnsi"/>
          <w:b/>
          <w:bCs/>
          <w:sz w:val="22"/>
          <w:szCs w:val="22"/>
        </w:rPr>
        <w:instrText xml:space="preserve">
</w:instrText>
      </w:r>
      <w:r w:rsidRPr="003248B2">
        <w:rPr>
          <w:rFonts w:cstheme="minorHAnsi"/>
          <w:b/>
          <w:bCs/>
          <w:sz w:val="22"/>
          <w:szCs w:val="22"/>
          <w:rtl/>
        </w:rPr>
        <w:instrText>شیخ حر عاملی، ج 19، ص 362، کتاب الوصایا، باب44، شماره 24763،</w:instrText>
      </w:r>
      <w:r w:rsidRPr="003248B2">
        <w:rPr>
          <w:rFonts w:cstheme="minorHAnsi"/>
          <w:b/>
          <w:bCs/>
          <w:sz w:val="22"/>
          <w:szCs w:val="22"/>
        </w:rPr>
        <w:instrText xml:space="preserve">
</w:instrText>
      </w:r>
      <w:r w:rsidRPr="003248B2">
        <w:rPr>
          <w:rFonts w:cstheme="minorHAnsi"/>
          <w:b/>
          <w:bCs/>
          <w:sz w:val="22"/>
          <w:szCs w:val="22"/>
          <w:rtl/>
        </w:rPr>
        <w:instrText>ح3،ط آل البیت</w:instrText>
      </w:r>
      <w:r w:rsidRPr="003248B2">
        <w:rPr>
          <w:rFonts w:cstheme="minorHAnsi"/>
          <w:b/>
          <w:bCs/>
          <w:sz w:val="22"/>
          <w:szCs w:val="22"/>
        </w:rPr>
        <w:instrText>."</w:instrText>
      </w:r>
      <w:r w:rsidRPr="003248B2">
        <w:rPr>
          <w:rFonts w:cstheme="minorHAnsi"/>
          <w:b/>
          <w:bCs/>
          <w:sz w:val="22"/>
          <w:szCs w:val="22"/>
        </w:rPr>
      </w:r>
      <w:r w:rsidRPr="003248B2">
        <w:rPr>
          <w:rFonts w:cstheme="minorHAnsi"/>
          <w:b/>
          <w:bCs/>
          <w:sz w:val="22"/>
          <w:szCs w:val="22"/>
        </w:rPr>
        <w:fldChar w:fldCharType="separate"/>
      </w:r>
      <w:r w:rsidRPr="003248B2">
        <w:rPr>
          <w:rStyle w:val="Hyperlink"/>
          <w:rFonts w:cstheme="minorHAnsi"/>
          <w:b/>
          <w:bCs/>
          <w:sz w:val="22"/>
          <w:szCs w:val="22"/>
        </w:rPr>
        <w:t>[1]</w:t>
      </w:r>
      <w:r w:rsidRPr="003248B2">
        <w:rPr>
          <w:rFonts w:cstheme="minorHAnsi"/>
          <w:b/>
          <w:bCs/>
          <w:sz w:val="22"/>
          <w:szCs w:val="22"/>
        </w:rPr>
        <w:fldChar w:fldCharType="end"/>
      </w:r>
      <w:bookmarkEnd w:id="0"/>
      <w:r w:rsidRPr="003248B2">
        <w:rPr>
          <w:rFonts w:cstheme="minorHAnsi"/>
          <w:b/>
          <w:bCs/>
          <w:sz w:val="22"/>
          <w:szCs w:val="22"/>
          <w:rtl/>
        </w:rPr>
        <w:t>یعنی اگر صبی ده ساله وصیت به اعطای مالی به فقرا یا هدایایی به همسایه ها یا مبلغی را به طلاب نماید، وصیت او صحیح خواهد بود. لکن کسی این مطلب را از علائم بلوغ ندانسته بلکه امری تعبدی است. همچنین روایاتی دلالت بر صحت صدقه و هبه و عتق صبی که به سن ده سالگی رسیده دارند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در بعضی از همین گونه روایات تصریح بر عدم بلوغ شرعی شده مثل</w:t>
      </w:r>
      <w:r w:rsidRPr="003248B2">
        <w:rPr>
          <w:rFonts w:cstheme="minorHAnsi"/>
          <w:b/>
          <w:bCs/>
          <w:sz w:val="22"/>
          <w:szCs w:val="22"/>
        </w:rPr>
        <w:t>: «</w:t>
      </w:r>
      <w:r w:rsidRPr="003248B2">
        <w:rPr>
          <w:rFonts w:cstheme="minorHAnsi"/>
          <w:b/>
          <w:bCs/>
          <w:sz w:val="22"/>
          <w:szCs w:val="22"/>
          <w:rtl/>
        </w:rPr>
        <w:t>عن أبي بصير، عن أبي عبدالله ( عليه السلام ) في غلام صغير لم يدرك، ابن عشر سنين، زنى بامرأة، قال </w:t>
      </w:r>
      <w:r w:rsidRPr="003248B2">
        <w:rPr>
          <w:rFonts w:cstheme="minorHAnsi"/>
          <w:b/>
          <w:bCs/>
          <w:sz w:val="22"/>
          <w:szCs w:val="22"/>
        </w:rPr>
        <w:t>: </w:t>
      </w:r>
      <w:r w:rsidRPr="003248B2">
        <w:rPr>
          <w:rFonts w:cstheme="minorHAnsi"/>
          <w:b/>
          <w:bCs/>
          <w:sz w:val="22"/>
          <w:szCs w:val="22"/>
          <w:rtl/>
        </w:rPr>
        <w:t>يجلد الغلام دون الحد، وتجلد المرأة الحد كاملا . قيل : فان كانت محصنة ؟ قال : لا ترجم، لأن الذي نكحها ليس بمدرك، ولو كان مدركا رجمت</w:t>
      </w:r>
      <w:r w:rsidRPr="003248B2">
        <w:rPr>
          <w:rFonts w:cstheme="minorHAnsi"/>
          <w:b/>
          <w:bCs/>
          <w:sz w:val="22"/>
          <w:szCs w:val="22"/>
        </w:rPr>
        <w:t>.»</w:t>
      </w:r>
      <w:bookmarkStart w:id="1" w:name="_ftnref2"/>
      <w:r w:rsidRPr="003248B2">
        <w:rPr>
          <w:rFonts w:cstheme="minorHAnsi"/>
          <w:b/>
          <w:bCs/>
          <w:sz w:val="22"/>
          <w:szCs w:val="22"/>
        </w:rPr>
        <w:fldChar w:fldCharType="begin"/>
      </w:r>
      <w:r w:rsidRPr="003248B2">
        <w:rPr>
          <w:rFonts w:cstheme="minorHAnsi"/>
          <w:b/>
          <w:bCs/>
          <w:sz w:val="22"/>
          <w:szCs w:val="22"/>
        </w:rPr>
        <w:instrText>HYPERLINK "https://eshia.ir/feqh/archive/text/jazayeri/feqh/93/940124/" \l "_ftn2" \o "</w:instrText>
      </w:r>
      <w:r w:rsidRPr="003248B2">
        <w:rPr>
          <w:rFonts w:cstheme="minorHAnsi"/>
          <w:b/>
          <w:bCs/>
          <w:sz w:val="22"/>
          <w:szCs w:val="22"/>
          <w:rtl/>
        </w:rPr>
        <w:instrText>وسائل الشیعه،</w:instrText>
      </w:r>
      <w:r w:rsidRPr="003248B2">
        <w:rPr>
          <w:rFonts w:cstheme="minorHAnsi"/>
          <w:b/>
          <w:bCs/>
          <w:sz w:val="22"/>
          <w:szCs w:val="22"/>
        </w:rPr>
        <w:instrText xml:space="preserve">
</w:instrText>
      </w:r>
      <w:r w:rsidRPr="003248B2">
        <w:rPr>
          <w:rFonts w:cstheme="minorHAnsi"/>
          <w:b/>
          <w:bCs/>
          <w:sz w:val="22"/>
          <w:szCs w:val="22"/>
          <w:rtl/>
        </w:rPr>
        <w:instrText>شیخ حر عاملی، ج 28، ص 82، ابواب حد زنا، باب9، شماره 34265، ح1،ط آل</w:instrText>
      </w:r>
      <w:r w:rsidRPr="003248B2">
        <w:rPr>
          <w:rFonts w:cstheme="minorHAnsi"/>
          <w:b/>
          <w:bCs/>
          <w:sz w:val="22"/>
          <w:szCs w:val="22"/>
        </w:rPr>
        <w:instrText xml:space="preserve">
</w:instrText>
      </w:r>
      <w:r w:rsidRPr="003248B2">
        <w:rPr>
          <w:rFonts w:cstheme="minorHAnsi"/>
          <w:b/>
          <w:bCs/>
          <w:sz w:val="22"/>
          <w:szCs w:val="22"/>
          <w:rtl/>
        </w:rPr>
        <w:instrText>البیت</w:instrText>
      </w:r>
      <w:r w:rsidRPr="003248B2">
        <w:rPr>
          <w:rFonts w:cstheme="minorHAnsi"/>
          <w:b/>
          <w:bCs/>
          <w:sz w:val="22"/>
          <w:szCs w:val="22"/>
        </w:rPr>
        <w:instrText>."</w:instrText>
      </w:r>
      <w:r w:rsidRPr="003248B2">
        <w:rPr>
          <w:rFonts w:cstheme="minorHAnsi"/>
          <w:b/>
          <w:bCs/>
          <w:sz w:val="22"/>
          <w:szCs w:val="22"/>
        </w:rPr>
      </w:r>
      <w:r w:rsidRPr="003248B2">
        <w:rPr>
          <w:rFonts w:cstheme="minorHAnsi"/>
          <w:b/>
          <w:bCs/>
          <w:sz w:val="22"/>
          <w:szCs w:val="22"/>
        </w:rPr>
        <w:fldChar w:fldCharType="separate"/>
      </w:r>
      <w:r w:rsidRPr="003248B2">
        <w:rPr>
          <w:rStyle w:val="Hyperlink"/>
          <w:rFonts w:cstheme="minorHAnsi"/>
          <w:b/>
          <w:bCs/>
          <w:sz w:val="22"/>
          <w:szCs w:val="22"/>
        </w:rPr>
        <w:t>[2]</w:t>
      </w:r>
      <w:r w:rsidRPr="003248B2">
        <w:rPr>
          <w:rFonts w:cstheme="minorHAnsi"/>
          <w:b/>
          <w:bCs/>
          <w:sz w:val="22"/>
          <w:szCs w:val="22"/>
        </w:rPr>
        <w:fldChar w:fldCharType="end"/>
      </w:r>
      <w:bookmarkEnd w:id="1"/>
      <w:r w:rsidRPr="003248B2">
        <w:rPr>
          <w:rFonts w:cstheme="minorHAnsi"/>
          <w:b/>
          <w:bCs/>
          <w:sz w:val="22"/>
          <w:szCs w:val="22"/>
        </w:rPr>
        <w:t> </w:t>
      </w:r>
      <w:r w:rsidRPr="003248B2">
        <w:rPr>
          <w:rFonts w:cstheme="minorHAnsi"/>
          <w:b/>
          <w:bCs/>
          <w:sz w:val="22"/>
          <w:szCs w:val="22"/>
          <w:rtl/>
        </w:rPr>
        <w:t>در روایت فوق بیان شده در صورت زنای صبی او تعزیر می کنند و نه رجم، زیرا در رجم شرط است که فاعل بالغ باشد. نتیجه آن که صدق وصیت و صدقه و دیگر امور که ذکر آن گذشت از باب بلوغ نیست، چرا که در این سن نه بلوغ شرعی و نه بلوغ تکوینی حاصل نشده و این امور فقط مواردی تعبدی هستند که از عمومات حجر صبی استثناء شده اند. بر همین اساس نیز جمع کثیری از علما فتوا به این موارد داده اند و بعض دیگر احتیاط نموده اند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تا اینجا به این نتیجه رسیدیم که صحیح در بلوغ شرعی همان قول مشهور بین علما یعنی اتمام پانزده سالگی و نَه دَه یا سیزده یا چهارده سال می باشد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بررسی سن بلوغ شرعی در زنان</w:t>
      </w:r>
      <w:r w:rsidRPr="003248B2">
        <w:rPr>
          <w:rFonts w:cstheme="minorHAnsi"/>
          <w:b/>
          <w:bCs/>
          <w:sz w:val="22"/>
          <w:szCs w:val="22"/>
        </w:rPr>
        <w:br/>
      </w:r>
      <w:r w:rsidRPr="003248B2">
        <w:rPr>
          <w:rFonts w:cstheme="minorHAnsi"/>
          <w:b/>
          <w:bCs/>
          <w:sz w:val="22"/>
          <w:szCs w:val="22"/>
          <w:rtl/>
        </w:rPr>
        <w:t>مطلب دیگر سن بلوغ در زنان است. مشهور بین علما در بلوغ شرعی زنان اکمال نه سال و داخل شدن در ده سالگی است. در کتاب جواهر و دیگر کتب بر این مطلب ادعای اجماع شده. در جواهر گفته شده آنچه که مذهب بر آن مستقر است همین مقدار می باشد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طایفه اول روایات</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صاحب جواهر درمقام استدلال به روایاتی استناد کرده. از جمله آنها روایت ابن ابی عمیر است</w:t>
      </w:r>
      <w:r w:rsidRPr="003248B2">
        <w:rPr>
          <w:rFonts w:cstheme="minorHAnsi"/>
          <w:b/>
          <w:bCs/>
          <w:sz w:val="22"/>
          <w:szCs w:val="22"/>
        </w:rPr>
        <w:t>. «</w:t>
      </w:r>
      <w:r w:rsidRPr="003248B2">
        <w:rPr>
          <w:rFonts w:cstheme="minorHAnsi"/>
          <w:b/>
          <w:bCs/>
          <w:sz w:val="22"/>
          <w:szCs w:val="22"/>
          <w:rtl/>
        </w:rPr>
        <w:t>فِي الْخِصَالِ عَنْ أَبِيهِ عَنْ عَلِيِّ بْنِ إِبْرَاهِيمَ عَنْ أَبِيهِ عَنْ مُحَمَّدِ بْنِ أَبِي عُمَيْرٍ عَنْ غَيْرِ وَاحِدٍ عَنْ أَبِي عَبْدِ اللَّهِ ع قَالَ: حَدُّ بُلُوغِ الْمَرْأَةِ تِسْعُ سِنِينَ</w:t>
      </w:r>
      <w:r w:rsidRPr="003248B2">
        <w:rPr>
          <w:rFonts w:cstheme="minorHAnsi"/>
          <w:b/>
          <w:bCs/>
          <w:sz w:val="22"/>
          <w:szCs w:val="22"/>
        </w:rPr>
        <w:t>.»</w:t>
      </w:r>
      <w:bookmarkStart w:id="2" w:name="_ftnref3"/>
      <w:r w:rsidRPr="003248B2">
        <w:rPr>
          <w:rFonts w:cstheme="minorHAnsi"/>
          <w:b/>
          <w:bCs/>
          <w:sz w:val="22"/>
          <w:szCs w:val="22"/>
        </w:rPr>
        <w:fldChar w:fldCharType="begin"/>
      </w:r>
      <w:r w:rsidRPr="003248B2">
        <w:rPr>
          <w:rFonts w:cstheme="minorHAnsi"/>
          <w:b/>
          <w:bCs/>
          <w:sz w:val="22"/>
          <w:szCs w:val="22"/>
        </w:rPr>
        <w:instrText>HYPERLINK "https://eshia.ir/feqh/archive/text/jazayeri/feqh/93/940124/" \l "_ftn3" \o "</w:instrText>
      </w:r>
      <w:r w:rsidRPr="003248B2">
        <w:rPr>
          <w:rFonts w:cstheme="minorHAnsi"/>
          <w:b/>
          <w:bCs/>
          <w:sz w:val="22"/>
          <w:szCs w:val="22"/>
          <w:rtl/>
        </w:rPr>
        <w:instrText>وسائل الشیعه،</w:instrText>
      </w:r>
      <w:r w:rsidRPr="003248B2">
        <w:rPr>
          <w:rFonts w:cstheme="minorHAnsi"/>
          <w:b/>
          <w:bCs/>
          <w:sz w:val="22"/>
          <w:szCs w:val="22"/>
        </w:rPr>
        <w:instrText xml:space="preserve">
</w:instrText>
      </w:r>
      <w:r w:rsidRPr="003248B2">
        <w:rPr>
          <w:rFonts w:cstheme="minorHAnsi"/>
          <w:b/>
          <w:bCs/>
          <w:sz w:val="22"/>
          <w:szCs w:val="22"/>
          <w:rtl/>
        </w:rPr>
        <w:instrText>شیخ حر عاملی، ج 20، ص 104، ابواب مقدمات النکاح و آدابه، باب45،</w:instrText>
      </w:r>
      <w:r w:rsidRPr="003248B2">
        <w:rPr>
          <w:rFonts w:cstheme="minorHAnsi"/>
          <w:b/>
          <w:bCs/>
          <w:sz w:val="22"/>
          <w:szCs w:val="22"/>
        </w:rPr>
        <w:instrText xml:space="preserve">
</w:instrText>
      </w:r>
      <w:r w:rsidRPr="003248B2">
        <w:rPr>
          <w:rFonts w:cstheme="minorHAnsi"/>
          <w:b/>
          <w:bCs/>
          <w:sz w:val="22"/>
          <w:szCs w:val="22"/>
          <w:rtl/>
        </w:rPr>
        <w:instrText>شماره 25151، ح10،ط آل البیت</w:instrText>
      </w:r>
      <w:r w:rsidRPr="003248B2">
        <w:rPr>
          <w:rFonts w:cstheme="minorHAnsi"/>
          <w:b/>
          <w:bCs/>
          <w:sz w:val="22"/>
          <w:szCs w:val="22"/>
        </w:rPr>
        <w:instrText>."</w:instrText>
      </w:r>
      <w:r w:rsidRPr="003248B2">
        <w:rPr>
          <w:rFonts w:cstheme="minorHAnsi"/>
          <w:b/>
          <w:bCs/>
          <w:sz w:val="22"/>
          <w:szCs w:val="22"/>
        </w:rPr>
      </w:r>
      <w:r w:rsidRPr="003248B2">
        <w:rPr>
          <w:rFonts w:cstheme="minorHAnsi"/>
          <w:b/>
          <w:bCs/>
          <w:sz w:val="22"/>
          <w:szCs w:val="22"/>
        </w:rPr>
        <w:fldChar w:fldCharType="separate"/>
      </w:r>
      <w:r w:rsidRPr="003248B2">
        <w:rPr>
          <w:rStyle w:val="Hyperlink"/>
          <w:rFonts w:cstheme="minorHAnsi"/>
          <w:b/>
          <w:bCs/>
          <w:sz w:val="22"/>
          <w:szCs w:val="22"/>
        </w:rPr>
        <w:t>[3]</w:t>
      </w:r>
      <w:r w:rsidRPr="003248B2">
        <w:rPr>
          <w:rFonts w:cstheme="minorHAnsi"/>
          <w:b/>
          <w:bCs/>
          <w:sz w:val="22"/>
          <w:szCs w:val="22"/>
        </w:rPr>
        <w:fldChar w:fldCharType="end"/>
      </w:r>
      <w:bookmarkEnd w:id="2"/>
      <w:r w:rsidRPr="003248B2">
        <w:rPr>
          <w:rFonts w:cstheme="minorHAnsi"/>
          <w:b/>
          <w:bCs/>
          <w:sz w:val="22"/>
          <w:szCs w:val="22"/>
          <w:rtl/>
        </w:rPr>
        <w:t>سیدنا الاستاد در مورد سند روایت فرموده: همین مقدار کافی است؛ زیرا به کمتر از سه یا چهار نفر «غیر واحد» گفته نمی شود و انسان با این مقدار اطمینان به عدم کذب پیدا می کند چه اینکه این اطمینان از باب کثرت روات باشد یا از باب اطمینان به وثوق بعض آنها، لذا روایت مرسله محسوب نمی شود بلکه مسند می باشد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بنا بر این روایت هم از لحاظ سند و هم از لحاظ دلالت تمام می باشد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روایت دیگر</w:t>
      </w:r>
      <w:r w:rsidRPr="003248B2">
        <w:rPr>
          <w:rFonts w:cstheme="minorHAnsi"/>
          <w:b/>
          <w:bCs/>
          <w:sz w:val="22"/>
          <w:szCs w:val="22"/>
        </w:rPr>
        <w:t xml:space="preserve"> : «</w:t>
      </w:r>
      <w:r w:rsidRPr="003248B2">
        <w:rPr>
          <w:rFonts w:cstheme="minorHAnsi"/>
          <w:b/>
          <w:bCs/>
          <w:sz w:val="22"/>
          <w:szCs w:val="22"/>
          <w:rtl/>
        </w:rPr>
        <w:t>عن أبي عبدالله ( عليه السلام ) قال : قلت : الجارية ابنة كم لا تستصبى ؟ أبنت ست أو سبع ؟ فقال </w:t>
      </w:r>
      <w:r w:rsidRPr="003248B2">
        <w:rPr>
          <w:rFonts w:cstheme="minorHAnsi"/>
          <w:b/>
          <w:bCs/>
          <w:sz w:val="22"/>
          <w:szCs w:val="22"/>
        </w:rPr>
        <w:t>: </w:t>
      </w:r>
      <w:r w:rsidRPr="003248B2">
        <w:rPr>
          <w:rFonts w:cstheme="minorHAnsi"/>
          <w:b/>
          <w:bCs/>
          <w:sz w:val="22"/>
          <w:szCs w:val="22"/>
          <w:rtl/>
        </w:rPr>
        <w:t>لا، ابنة تسع لا تستصبى، وأجمعوا كلهم على أن ابنة تسع لا تستصبى إلا أيكون في عقلها ضعف، وإلا فإذا بلغت تسعا فقد بلغت</w:t>
      </w:r>
      <w:r w:rsidRPr="003248B2">
        <w:rPr>
          <w:rFonts w:cstheme="minorHAnsi"/>
          <w:b/>
          <w:bCs/>
          <w:sz w:val="22"/>
          <w:szCs w:val="22"/>
        </w:rPr>
        <w:t>.»</w:t>
      </w:r>
      <w:bookmarkStart w:id="3" w:name="_ftnref4"/>
      <w:r w:rsidRPr="003248B2">
        <w:rPr>
          <w:rFonts w:cstheme="minorHAnsi"/>
          <w:b/>
          <w:bCs/>
          <w:sz w:val="22"/>
          <w:szCs w:val="22"/>
        </w:rPr>
        <w:fldChar w:fldCharType="begin"/>
      </w:r>
      <w:r w:rsidRPr="003248B2">
        <w:rPr>
          <w:rFonts w:cstheme="minorHAnsi"/>
          <w:b/>
          <w:bCs/>
          <w:sz w:val="22"/>
          <w:szCs w:val="22"/>
        </w:rPr>
        <w:instrText>HYPERLINK "https://eshia.ir/feqh/archive/text/jazayeri/feqh/93/940124/" \l "_ftn4" \o "</w:instrText>
      </w:r>
      <w:r w:rsidRPr="003248B2">
        <w:rPr>
          <w:rFonts w:cstheme="minorHAnsi"/>
          <w:b/>
          <w:bCs/>
          <w:sz w:val="22"/>
          <w:szCs w:val="22"/>
          <w:rtl/>
        </w:rPr>
        <w:instrText>وسائل الشیعه،</w:instrText>
      </w:r>
      <w:r w:rsidRPr="003248B2">
        <w:rPr>
          <w:rFonts w:cstheme="minorHAnsi"/>
          <w:b/>
          <w:bCs/>
          <w:sz w:val="22"/>
          <w:szCs w:val="22"/>
        </w:rPr>
        <w:instrText xml:space="preserve">
</w:instrText>
      </w:r>
      <w:r w:rsidRPr="003248B2">
        <w:rPr>
          <w:rFonts w:cstheme="minorHAnsi"/>
          <w:b/>
          <w:bCs/>
          <w:sz w:val="22"/>
          <w:szCs w:val="22"/>
          <w:rtl/>
        </w:rPr>
        <w:instrText>شیخ حر عاملی، ج 21، ص 36، ابواب المتعه، باب12، شماره 26462، ح2،ط آل</w:instrText>
      </w:r>
      <w:r w:rsidRPr="003248B2">
        <w:rPr>
          <w:rFonts w:cstheme="minorHAnsi"/>
          <w:b/>
          <w:bCs/>
          <w:sz w:val="22"/>
          <w:szCs w:val="22"/>
        </w:rPr>
        <w:instrText xml:space="preserve">
</w:instrText>
      </w:r>
      <w:r w:rsidRPr="003248B2">
        <w:rPr>
          <w:rFonts w:cstheme="minorHAnsi"/>
          <w:b/>
          <w:bCs/>
          <w:sz w:val="22"/>
          <w:szCs w:val="22"/>
          <w:rtl/>
        </w:rPr>
        <w:instrText>البیت</w:instrText>
      </w:r>
      <w:r w:rsidRPr="003248B2">
        <w:rPr>
          <w:rFonts w:cstheme="minorHAnsi"/>
          <w:b/>
          <w:bCs/>
          <w:sz w:val="22"/>
          <w:szCs w:val="22"/>
        </w:rPr>
        <w:instrText>."</w:instrText>
      </w:r>
      <w:r w:rsidRPr="003248B2">
        <w:rPr>
          <w:rFonts w:cstheme="minorHAnsi"/>
          <w:b/>
          <w:bCs/>
          <w:sz w:val="22"/>
          <w:szCs w:val="22"/>
        </w:rPr>
      </w:r>
      <w:r w:rsidRPr="003248B2">
        <w:rPr>
          <w:rFonts w:cstheme="minorHAnsi"/>
          <w:b/>
          <w:bCs/>
          <w:sz w:val="22"/>
          <w:szCs w:val="22"/>
        </w:rPr>
        <w:fldChar w:fldCharType="separate"/>
      </w:r>
      <w:r w:rsidRPr="003248B2">
        <w:rPr>
          <w:rStyle w:val="Hyperlink"/>
          <w:rFonts w:cstheme="minorHAnsi"/>
          <w:b/>
          <w:bCs/>
          <w:sz w:val="22"/>
          <w:szCs w:val="22"/>
        </w:rPr>
        <w:t>[4]</w:t>
      </w:r>
      <w:r w:rsidRPr="003248B2">
        <w:rPr>
          <w:rFonts w:cstheme="minorHAnsi"/>
          <w:b/>
          <w:bCs/>
          <w:sz w:val="22"/>
          <w:szCs w:val="22"/>
        </w:rPr>
        <w:fldChar w:fldCharType="end"/>
      </w:r>
      <w:bookmarkEnd w:id="3"/>
      <w:r w:rsidRPr="003248B2">
        <w:rPr>
          <w:rFonts w:cstheme="minorHAnsi"/>
          <w:b/>
          <w:bCs/>
          <w:sz w:val="22"/>
          <w:szCs w:val="22"/>
        </w:rPr>
        <w:br/>
      </w:r>
      <w:r w:rsidRPr="003248B2">
        <w:rPr>
          <w:rFonts w:cstheme="minorHAnsi"/>
          <w:b/>
          <w:bCs/>
          <w:sz w:val="22"/>
          <w:szCs w:val="22"/>
          <w:rtl/>
        </w:rPr>
        <w:t>تا اینجا طائفه اول روایات را که در آنها سن بلوغ زنان را اتمام نه سال و داخل شدن در ده سال دانسته بودند، بیان شد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طایفه دوم روایات</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طائفه دوم روایاتی هستند که بالملازمه لوازم بلوغ را اثبات می کنند</w:t>
      </w:r>
      <w:r w:rsidRPr="003248B2">
        <w:rPr>
          <w:rFonts w:cstheme="minorHAnsi"/>
          <w:b/>
          <w:bCs/>
          <w:sz w:val="22"/>
          <w:szCs w:val="22"/>
        </w:rPr>
        <w:t>. «</w:t>
      </w:r>
      <w:r w:rsidRPr="003248B2">
        <w:rPr>
          <w:rFonts w:cstheme="minorHAnsi"/>
          <w:b/>
          <w:bCs/>
          <w:sz w:val="22"/>
          <w:szCs w:val="22"/>
          <w:rtl/>
        </w:rPr>
        <w:t>عن عبدالله بن سنان، عن أبي عبدالله ( عليه السلام ) قال : إذا بلغ الغلام ثلاث عشرة سنة كتبت له الحسنة وكتبت عليه السيئة وعوقب، وإذا بلغت الجارية تسع سنين فكذلك، وذلك إنها تحيض لتسع سنين</w:t>
      </w:r>
      <w:r w:rsidRPr="003248B2">
        <w:rPr>
          <w:rFonts w:cstheme="minorHAnsi"/>
          <w:b/>
          <w:bCs/>
          <w:sz w:val="22"/>
          <w:szCs w:val="22"/>
        </w:rPr>
        <w:t>.»</w:t>
      </w:r>
      <w:bookmarkStart w:id="4" w:name="_ftnref5"/>
      <w:r w:rsidRPr="003248B2">
        <w:rPr>
          <w:rFonts w:cstheme="minorHAnsi"/>
          <w:b/>
          <w:bCs/>
          <w:sz w:val="22"/>
          <w:szCs w:val="22"/>
        </w:rPr>
        <w:fldChar w:fldCharType="begin"/>
      </w:r>
      <w:r w:rsidRPr="003248B2">
        <w:rPr>
          <w:rFonts w:cstheme="minorHAnsi"/>
          <w:b/>
          <w:bCs/>
          <w:sz w:val="22"/>
          <w:szCs w:val="22"/>
        </w:rPr>
        <w:instrText>HYPERLINK "https://eshia.ir/feqh/archive/text/jazayeri/feqh/93/940124/" \l "_ftn5" \o "</w:instrText>
      </w:r>
      <w:r w:rsidRPr="003248B2">
        <w:rPr>
          <w:rFonts w:cstheme="minorHAnsi"/>
          <w:b/>
          <w:bCs/>
          <w:sz w:val="22"/>
          <w:szCs w:val="22"/>
          <w:rtl/>
        </w:rPr>
        <w:instrText>وسائل الشیعه،</w:instrText>
      </w:r>
      <w:r w:rsidRPr="003248B2">
        <w:rPr>
          <w:rFonts w:cstheme="minorHAnsi"/>
          <w:b/>
          <w:bCs/>
          <w:sz w:val="22"/>
          <w:szCs w:val="22"/>
        </w:rPr>
        <w:instrText xml:space="preserve">
</w:instrText>
      </w:r>
      <w:r w:rsidRPr="003248B2">
        <w:rPr>
          <w:rFonts w:cstheme="minorHAnsi"/>
          <w:b/>
          <w:bCs/>
          <w:sz w:val="22"/>
          <w:szCs w:val="22"/>
          <w:rtl/>
        </w:rPr>
        <w:instrText>شیخ حر عاملی، ج 19، ص 365، ابواب الوصایا، باب44، شماره 24772،</w:instrText>
      </w:r>
      <w:r w:rsidRPr="003248B2">
        <w:rPr>
          <w:rFonts w:cstheme="minorHAnsi"/>
          <w:b/>
          <w:bCs/>
          <w:sz w:val="22"/>
          <w:szCs w:val="22"/>
        </w:rPr>
        <w:instrText xml:space="preserve">
</w:instrText>
      </w:r>
      <w:r w:rsidRPr="003248B2">
        <w:rPr>
          <w:rFonts w:cstheme="minorHAnsi"/>
          <w:b/>
          <w:bCs/>
          <w:sz w:val="22"/>
          <w:szCs w:val="22"/>
          <w:rtl/>
        </w:rPr>
        <w:instrText>ح12،ط آل البیت</w:instrText>
      </w:r>
      <w:r w:rsidRPr="003248B2">
        <w:rPr>
          <w:rFonts w:cstheme="minorHAnsi"/>
          <w:b/>
          <w:bCs/>
          <w:sz w:val="22"/>
          <w:szCs w:val="22"/>
        </w:rPr>
        <w:instrText>."</w:instrText>
      </w:r>
      <w:r w:rsidRPr="003248B2">
        <w:rPr>
          <w:rFonts w:cstheme="minorHAnsi"/>
          <w:b/>
          <w:bCs/>
          <w:sz w:val="22"/>
          <w:szCs w:val="22"/>
        </w:rPr>
      </w:r>
      <w:r w:rsidRPr="003248B2">
        <w:rPr>
          <w:rFonts w:cstheme="minorHAnsi"/>
          <w:b/>
          <w:bCs/>
          <w:sz w:val="22"/>
          <w:szCs w:val="22"/>
        </w:rPr>
        <w:fldChar w:fldCharType="separate"/>
      </w:r>
      <w:r w:rsidRPr="003248B2">
        <w:rPr>
          <w:rStyle w:val="Hyperlink"/>
          <w:rFonts w:cstheme="minorHAnsi"/>
          <w:b/>
          <w:bCs/>
          <w:sz w:val="22"/>
          <w:szCs w:val="22"/>
        </w:rPr>
        <w:t>[5]</w:t>
      </w:r>
      <w:r w:rsidRPr="003248B2">
        <w:rPr>
          <w:rFonts w:cstheme="minorHAnsi"/>
          <w:b/>
          <w:bCs/>
          <w:sz w:val="22"/>
          <w:szCs w:val="22"/>
        </w:rPr>
        <w:fldChar w:fldCharType="end"/>
      </w:r>
      <w:bookmarkEnd w:id="4"/>
      <w:r w:rsidRPr="003248B2">
        <w:rPr>
          <w:rFonts w:cstheme="minorHAnsi"/>
          <w:b/>
          <w:bCs/>
          <w:sz w:val="22"/>
          <w:szCs w:val="22"/>
          <w:rtl/>
        </w:rPr>
        <w:t>در این روایت امام علیه السلام تعلیلی برای بلوغ در نه سالگی می آورد و می فرماید: علت ایناست که زن در نه سالگی حیض می شود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روایت دیگر روایت حمران بن اعین است، حمران بزرگتر از زراره است و او زراره را به امام علیه السلام معرفی کرد و گفت برادری کثیر الاستعداد دارم و از امام اجازه گرفت تا او را به خدمت امام علیه السلام برساند</w:t>
      </w:r>
      <w:r w:rsidRPr="003248B2">
        <w:rPr>
          <w:rFonts w:cstheme="minorHAnsi"/>
          <w:b/>
          <w:bCs/>
          <w:sz w:val="22"/>
          <w:szCs w:val="22"/>
        </w:rPr>
        <w:t>.«</w:t>
      </w:r>
      <w:r w:rsidRPr="003248B2">
        <w:rPr>
          <w:rFonts w:cstheme="minorHAnsi"/>
          <w:b/>
          <w:bCs/>
          <w:sz w:val="22"/>
          <w:szCs w:val="22"/>
          <w:rtl/>
        </w:rPr>
        <w:t xml:space="preserve">عن حمران قال: ... قلت: فالجارية، متى تجب عليها الحدود التامة، وتؤخذ بها، ويؤخذ لها؟ قال: إن الجارية ليست مثل الغلام، إن الجارية إذا تزوجت، ودخل بها ولها </w:t>
      </w:r>
      <w:r w:rsidRPr="003248B2">
        <w:rPr>
          <w:rFonts w:cstheme="minorHAnsi"/>
          <w:b/>
          <w:bCs/>
          <w:sz w:val="22"/>
          <w:szCs w:val="22"/>
          <w:rtl/>
        </w:rPr>
        <w:lastRenderedPageBreak/>
        <w:t>تسع سنين ذهب عنها اليتم</w:t>
      </w:r>
      <w:r w:rsidRPr="003248B2">
        <w:rPr>
          <w:rFonts w:cstheme="minorHAnsi"/>
          <w:b/>
          <w:bCs/>
          <w:sz w:val="22"/>
          <w:szCs w:val="22"/>
        </w:rPr>
        <w:t>»</w:t>
      </w:r>
      <w:bookmarkStart w:id="5" w:name="_ftnref6"/>
      <w:r w:rsidRPr="003248B2">
        <w:rPr>
          <w:rFonts w:cstheme="minorHAnsi"/>
          <w:b/>
          <w:bCs/>
          <w:sz w:val="22"/>
          <w:szCs w:val="22"/>
        </w:rPr>
        <w:fldChar w:fldCharType="begin"/>
      </w:r>
      <w:r w:rsidRPr="003248B2">
        <w:rPr>
          <w:rFonts w:cstheme="minorHAnsi"/>
          <w:b/>
          <w:bCs/>
          <w:sz w:val="22"/>
          <w:szCs w:val="22"/>
        </w:rPr>
        <w:instrText>HYPERLINK "https://eshia.ir/feqh/archive/text/jazayeri/feqh/93/940124/" \l "_ftn6" \o "</w:instrText>
      </w:r>
      <w:r w:rsidRPr="003248B2">
        <w:rPr>
          <w:rFonts w:cstheme="minorHAnsi"/>
          <w:b/>
          <w:bCs/>
          <w:sz w:val="22"/>
          <w:szCs w:val="22"/>
          <w:rtl/>
        </w:rPr>
        <w:instrText>وسائل الشیعه،</w:instrText>
      </w:r>
      <w:r w:rsidRPr="003248B2">
        <w:rPr>
          <w:rFonts w:cstheme="minorHAnsi"/>
          <w:b/>
          <w:bCs/>
          <w:sz w:val="22"/>
          <w:szCs w:val="22"/>
        </w:rPr>
        <w:instrText xml:space="preserve">
</w:instrText>
      </w:r>
      <w:r w:rsidRPr="003248B2">
        <w:rPr>
          <w:rFonts w:cstheme="minorHAnsi"/>
          <w:b/>
          <w:bCs/>
          <w:sz w:val="22"/>
          <w:szCs w:val="22"/>
          <w:rtl/>
        </w:rPr>
        <w:instrText>شیخ حر عاملی، ج 1، ص 43، ابواب مقدمه العبادات، باب4، شماره 72، ح2،ط</w:instrText>
      </w:r>
      <w:r w:rsidRPr="003248B2">
        <w:rPr>
          <w:rFonts w:cstheme="minorHAnsi"/>
          <w:b/>
          <w:bCs/>
          <w:sz w:val="22"/>
          <w:szCs w:val="22"/>
        </w:rPr>
        <w:instrText xml:space="preserve">
</w:instrText>
      </w:r>
      <w:r w:rsidRPr="003248B2">
        <w:rPr>
          <w:rFonts w:cstheme="minorHAnsi"/>
          <w:b/>
          <w:bCs/>
          <w:sz w:val="22"/>
          <w:szCs w:val="22"/>
          <w:rtl/>
        </w:rPr>
        <w:instrText>آل البیت</w:instrText>
      </w:r>
      <w:r w:rsidRPr="003248B2">
        <w:rPr>
          <w:rFonts w:cstheme="minorHAnsi"/>
          <w:b/>
          <w:bCs/>
          <w:sz w:val="22"/>
          <w:szCs w:val="22"/>
        </w:rPr>
        <w:instrText>."</w:instrText>
      </w:r>
      <w:r w:rsidRPr="003248B2">
        <w:rPr>
          <w:rFonts w:cstheme="minorHAnsi"/>
          <w:b/>
          <w:bCs/>
          <w:sz w:val="22"/>
          <w:szCs w:val="22"/>
        </w:rPr>
      </w:r>
      <w:r w:rsidRPr="003248B2">
        <w:rPr>
          <w:rFonts w:cstheme="minorHAnsi"/>
          <w:b/>
          <w:bCs/>
          <w:sz w:val="22"/>
          <w:szCs w:val="22"/>
        </w:rPr>
        <w:fldChar w:fldCharType="separate"/>
      </w:r>
      <w:r w:rsidRPr="003248B2">
        <w:rPr>
          <w:rStyle w:val="Hyperlink"/>
          <w:rFonts w:cstheme="minorHAnsi"/>
          <w:b/>
          <w:bCs/>
          <w:sz w:val="22"/>
          <w:szCs w:val="22"/>
        </w:rPr>
        <w:t>[6]</w:t>
      </w:r>
      <w:r w:rsidRPr="003248B2">
        <w:rPr>
          <w:rFonts w:cstheme="minorHAnsi"/>
          <w:b/>
          <w:bCs/>
          <w:sz w:val="22"/>
          <w:szCs w:val="22"/>
        </w:rPr>
        <w:fldChar w:fldCharType="end"/>
      </w:r>
      <w:bookmarkEnd w:id="5"/>
      <w:r w:rsidRPr="003248B2">
        <w:rPr>
          <w:rFonts w:cstheme="minorHAnsi"/>
          <w:b/>
          <w:bCs/>
          <w:sz w:val="22"/>
          <w:szCs w:val="22"/>
          <w:rtl/>
        </w:rPr>
        <w:t>مقصود از «یُتم» صباوت است و با یتیم متفاوت است، زیرا با فرض وجود پدر هم این اصطلاح صادق است. امام علیه السلام می فرماید: در صورتی که زن نه سال داشته باشد، صغیر محسوب نمی شود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روایت دیگر، روایت سعید الکناسی است که با مضمون همین روایتی است که قرائت شد. در جلسه گذشته گفتیم ظاهراً کناسی همان ابوخالد قماط است</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طایفه سوم روایات</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طایفه سوم روایاتی هستند که دلالت بر عدم جواز دخول بر دختر صغیره ای که ازدواج کرده و نه سالش تمام نشده دارند. صحیحه حلبی از روایات این طائفه است</w:t>
      </w:r>
      <w:r w:rsidRPr="003248B2">
        <w:rPr>
          <w:rFonts w:cstheme="minorHAnsi"/>
          <w:b/>
          <w:bCs/>
          <w:sz w:val="22"/>
          <w:szCs w:val="22"/>
        </w:rPr>
        <w:t>. «</w:t>
      </w:r>
      <w:r w:rsidRPr="003248B2">
        <w:rPr>
          <w:rFonts w:cstheme="minorHAnsi"/>
          <w:b/>
          <w:bCs/>
          <w:sz w:val="22"/>
          <w:szCs w:val="22"/>
          <w:rtl/>
        </w:rPr>
        <w:t>عن الحلبيّ، عن أبي عبدالله ( عليه السلام ) قال : قال : إذا تزوج الرجل الجارية وهي صغيرة فلا يدخل بها حتى يأتي لها تسع سنين</w:t>
      </w:r>
      <w:r w:rsidRPr="003248B2">
        <w:rPr>
          <w:rFonts w:cstheme="minorHAnsi"/>
          <w:b/>
          <w:bCs/>
          <w:sz w:val="22"/>
          <w:szCs w:val="22"/>
        </w:rPr>
        <w:t>.»</w:t>
      </w:r>
      <w:bookmarkStart w:id="6" w:name="_ftnref7"/>
      <w:r w:rsidRPr="003248B2">
        <w:rPr>
          <w:rFonts w:cstheme="minorHAnsi"/>
          <w:b/>
          <w:bCs/>
          <w:sz w:val="22"/>
          <w:szCs w:val="22"/>
        </w:rPr>
        <w:fldChar w:fldCharType="begin"/>
      </w:r>
      <w:r w:rsidRPr="003248B2">
        <w:rPr>
          <w:rFonts w:cstheme="minorHAnsi"/>
          <w:b/>
          <w:bCs/>
          <w:sz w:val="22"/>
          <w:szCs w:val="22"/>
        </w:rPr>
        <w:instrText>HYPERLINK "https://eshia.ir/feqh/archive/text/jazayeri/feqh/93/940124/" \l "_ftn7" \o "</w:instrText>
      </w:r>
      <w:r w:rsidRPr="003248B2">
        <w:rPr>
          <w:rFonts w:cstheme="minorHAnsi"/>
          <w:b/>
          <w:bCs/>
          <w:sz w:val="22"/>
          <w:szCs w:val="22"/>
          <w:rtl/>
        </w:rPr>
        <w:instrText>وسائل الشیعه،</w:instrText>
      </w:r>
      <w:r w:rsidRPr="003248B2">
        <w:rPr>
          <w:rFonts w:cstheme="minorHAnsi"/>
          <w:b/>
          <w:bCs/>
          <w:sz w:val="22"/>
          <w:szCs w:val="22"/>
        </w:rPr>
        <w:instrText xml:space="preserve">
</w:instrText>
      </w:r>
      <w:r w:rsidRPr="003248B2">
        <w:rPr>
          <w:rFonts w:cstheme="minorHAnsi"/>
          <w:b/>
          <w:bCs/>
          <w:sz w:val="22"/>
          <w:szCs w:val="22"/>
          <w:rtl/>
        </w:rPr>
        <w:instrText>شیخ حر عاملی، ج 20، ص 101، ابواب مقدمات النکاح و آدابه، باب45،</w:instrText>
      </w:r>
      <w:r w:rsidRPr="003248B2">
        <w:rPr>
          <w:rFonts w:cstheme="minorHAnsi"/>
          <w:b/>
          <w:bCs/>
          <w:sz w:val="22"/>
          <w:szCs w:val="22"/>
        </w:rPr>
        <w:instrText xml:space="preserve">
</w:instrText>
      </w:r>
      <w:r w:rsidRPr="003248B2">
        <w:rPr>
          <w:rFonts w:cstheme="minorHAnsi"/>
          <w:b/>
          <w:bCs/>
          <w:sz w:val="22"/>
          <w:szCs w:val="22"/>
          <w:rtl/>
        </w:rPr>
        <w:instrText>شماره 25142، ح1،ط آل البیت</w:instrText>
      </w:r>
      <w:r w:rsidRPr="003248B2">
        <w:rPr>
          <w:rFonts w:cstheme="minorHAnsi"/>
          <w:b/>
          <w:bCs/>
          <w:sz w:val="22"/>
          <w:szCs w:val="22"/>
        </w:rPr>
        <w:instrText>."</w:instrText>
      </w:r>
      <w:r w:rsidRPr="003248B2">
        <w:rPr>
          <w:rFonts w:cstheme="minorHAnsi"/>
          <w:b/>
          <w:bCs/>
          <w:sz w:val="22"/>
          <w:szCs w:val="22"/>
        </w:rPr>
      </w:r>
      <w:r w:rsidRPr="003248B2">
        <w:rPr>
          <w:rFonts w:cstheme="minorHAnsi"/>
          <w:b/>
          <w:bCs/>
          <w:sz w:val="22"/>
          <w:szCs w:val="22"/>
        </w:rPr>
        <w:fldChar w:fldCharType="separate"/>
      </w:r>
      <w:r w:rsidRPr="003248B2">
        <w:rPr>
          <w:rStyle w:val="Hyperlink"/>
          <w:rFonts w:cstheme="minorHAnsi"/>
          <w:b/>
          <w:bCs/>
          <w:sz w:val="22"/>
          <w:szCs w:val="22"/>
        </w:rPr>
        <w:t>[7]</w:t>
      </w:r>
      <w:r w:rsidRPr="003248B2">
        <w:rPr>
          <w:rFonts w:cstheme="minorHAnsi"/>
          <w:b/>
          <w:bCs/>
          <w:sz w:val="22"/>
          <w:szCs w:val="22"/>
        </w:rPr>
        <w:fldChar w:fldCharType="end"/>
      </w:r>
      <w:bookmarkEnd w:id="6"/>
      <w:r w:rsidRPr="003248B2">
        <w:rPr>
          <w:rFonts w:cstheme="minorHAnsi"/>
          <w:b/>
          <w:bCs/>
          <w:sz w:val="22"/>
          <w:szCs w:val="22"/>
          <w:rtl/>
        </w:rPr>
        <w:t>در این روایت با لوازم بلوغ بر آن استدلال شده. از لوازم بلوغ وطی است؛ چرا که وطی قبل از بلوغ حرام است. روایت نیز جواز را مشروط به رسیدن زن نه سالگی کرده که بالملازمه دال بر بلوغ خواهد بود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صحیحه زراره و مرسله عمار سجستانی نیز با همین مضمون می باشند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گفته شده که در روایتی نادر و شاذ که ما آن را نیافتیم میزان در بلوغ زنان ده سال بیان شده، در صورت وجود چنین روایتی می توان بین این دو جمع نمود به این صورت که مقصود از ده سال را ورود به ده سال و مقصود از نه سال را اکمال نه سال دانست. آنچه که بیان شد قول مشهور در بلوغ زنان بود که مستند به روایات موثق و معتبری بود که به حد استفاضه می رسیدند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روایات دال بر اعتبار سیزده سال</w:t>
      </w:r>
      <w:r w:rsidRPr="003248B2">
        <w:rPr>
          <w:rFonts w:cstheme="minorHAnsi"/>
          <w:b/>
          <w:bCs/>
          <w:sz w:val="22"/>
          <w:szCs w:val="22"/>
        </w:rPr>
        <w:br/>
      </w:r>
      <w:r w:rsidRPr="003248B2">
        <w:rPr>
          <w:rFonts w:cstheme="minorHAnsi"/>
          <w:b/>
          <w:bCs/>
          <w:sz w:val="22"/>
          <w:szCs w:val="22"/>
          <w:rtl/>
        </w:rPr>
        <w:t>در مقابل این مشهور، قولی بر اعتبار سیزده سالگی در بلوغ زنان وجود دارد که به روایاتی از جمله موثقه عمار ساباطی استناد کرده اند</w:t>
      </w:r>
      <w:r w:rsidRPr="003248B2">
        <w:rPr>
          <w:rFonts w:cstheme="minorHAnsi"/>
          <w:b/>
          <w:bCs/>
          <w:sz w:val="22"/>
          <w:szCs w:val="22"/>
        </w:rPr>
        <w:t>. «</w:t>
      </w:r>
      <w:r w:rsidRPr="003248B2">
        <w:rPr>
          <w:rFonts w:cstheme="minorHAnsi"/>
          <w:b/>
          <w:bCs/>
          <w:sz w:val="22"/>
          <w:szCs w:val="22"/>
          <w:rtl/>
        </w:rPr>
        <w:t>عن عمار الساباطي، عن أبي عبدالله</w:t>
      </w:r>
      <w:r w:rsidRPr="003248B2">
        <w:rPr>
          <w:rFonts w:cstheme="minorHAnsi"/>
          <w:b/>
          <w:bCs/>
          <w:sz w:val="22"/>
          <w:szCs w:val="22"/>
        </w:rPr>
        <w:t>) </w:t>
      </w:r>
      <w:r w:rsidRPr="003248B2">
        <w:rPr>
          <w:rFonts w:cstheme="minorHAnsi"/>
          <w:b/>
          <w:bCs/>
          <w:sz w:val="22"/>
          <w:szCs w:val="22"/>
          <w:rtl/>
        </w:rPr>
        <w:t xml:space="preserve">عليه </w:t>
      </w:r>
      <w:proofErr w:type="gramStart"/>
      <w:r w:rsidRPr="003248B2">
        <w:rPr>
          <w:rFonts w:cstheme="minorHAnsi"/>
          <w:b/>
          <w:bCs/>
          <w:sz w:val="22"/>
          <w:szCs w:val="22"/>
          <w:rtl/>
        </w:rPr>
        <w:t>السلام )</w:t>
      </w:r>
      <w:proofErr w:type="gramEnd"/>
      <w:r w:rsidRPr="003248B2">
        <w:rPr>
          <w:rFonts w:cstheme="minorHAnsi"/>
          <w:b/>
          <w:bCs/>
          <w:sz w:val="22"/>
          <w:szCs w:val="22"/>
          <w:rtl/>
        </w:rPr>
        <w:t xml:space="preserve"> قال: سألته عن الغلام متى تجب عليه الصلاة؟ فقال</w:t>
      </w:r>
      <w:r w:rsidRPr="003248B2">
        <w:rPr>
          <w:rFonts w:cstheme="minorHAnsi"/>
          <w:b/>
          <w:bCs/>
          <w:sz w:val="22"/>
          <w:szCs w:val="22"/>
        </w:rPr>
        <w:t>: </w:t>
      </w:r>
      <w:r w:rsidRPr="003248B2">
        <w:rPr>
          <w:rFonts w:cstheme="minorHAnsi"/>
          <w:b/>
          <w:bCs/>
          <w:sz w:val="22"/>
          <w:szCs w:val="22"/>
          <w:rtl/>
        </w:rPr>
        <w:t>إذا أتى عليه ثلاث عشرة سنة، فإن احتلم قبل ذلك فقد وجبت عليه الصلاة، وجرى عليه القلم، والجارية مثل ذلك إن أتى لها ثلاث عشرة سنة، أو حاضت قبل ذلك، فقد وجبت عليها الصلاة، وجرى عليها القلم</w:t>
      </w:r>
      <w:r w:rsidRPr="003248B2">
        <w:rPr>
          <w:rFonts w:cstheme="minorHAnsi"/>
          <w:b/>
          <w:bCs/>
          <w:sz w:val="22"/>
          <w:szCs w:val="22"/>
        </w:rPr>
        <w:t>.»</w:t>
      </w:r>
      <w:bookmarkStart w:id="7" w:name="_ftnref8"/>
      <w:r w:rsidRPr="003248B2">
        <w:rPr>
          <w:rFonts w:cstheme="minorHAnsi"/>
          <w:b/>
          <w:bCs/>
          <w:sz w:val="22"/>
          <w:szCs w:val="22"/>
        </w:rPr>
        <w:fldChar w:fldCharType="begin"/>
      </w:r>
      <w:r w:rsidRPr="003248B2">
        <w:rPr>
          <w:rFonts w:cstheme="minorHAnsi"/>
          <w:b/>
          <w:bCs/>
          <w:sz w:val="22"/>
          <w:szCs w:val="22"/>
        </w:rPr>
        <w:instrText>HYPERLINK "https://eshia.ir/feqh/archive/text/jazayeri/feqh/93/940124/" \l "_ftn8" \o "</w:instrText>
      </w:r>
      <w:r w:rsidRPr="003248B2">
        <w:rPr>
          <w:rFonts w:cstheme="minorHAnsi"/>
          <w:b/>
          <w:bCs/>
          <w:sz w:val="22"/>
          <w:szCs w:val="22"/>
          <w:rtl/>
        </w:rPr>
        <w:instrText>وسائل الشیعه،</w:instrText>
      </w:r>
      <w:r w:rsidRPr="003248B2">
        <w:rPr>
          <w:rFonts w:cstheme="minorHAnsi"/>
          <w:b/>
          <w:bCs/>
          <w:sz w:val="22"/>
          <w:szCs w:val="22"/>
        </w:rPr>
        <w:instrText xml:space="preserve">
</w:instrText>
      </w:r>
      <w:r w:rsidRPr="003248B2">
        <w:rPr>
          <w:rFonts w:cstheme="minorHAnsi"/>
          <w:b/>
          <w:bCs/>
          <w:sz w:val="22"/>
          <w:szCs w:val="22"/>
          <w:rtl/>
        </w:rPr>
        <w:instrText>شیخ حر عاملی، ج 1، ص 45، ابواب مقدمات مقدمه العبادات، باب4، شماره 82،</w:instrText>
      </w:r>
      <w:r w:rsidRPr="003248B2">
        <w:rPr>
          <w:rFonts w:cstheme="minorHAnsi"/>
          <w:b/>
          <w:bCs/>
          <w:sz w:val="22"/>
          <w:szCs w:val="22"/>
        </w:rPr>
        <w:instrText xml:space="preserve">
</w:instrText>
      </w:r>
      <w:r w:rsidRPr="003248B2">
        <w:rPr>
          <w:rFonts w:cstheme="minorHAnsi"/>
          <w:b/>
          <w:bCs/>
          <w:sz w:val="22"/>
          <w:szCs w:val="22"/>
          <w:rtl/>
        </w:rPr>
        <w:instrText>ح12،ط آل البیت</w:instrText>
      </w:r>
      <w:r w:rsidRPr="003248B2">
        <w:rPr>
          <w:rFonts w:cstheme="minorHAnsi"/>
          <w:b/>
          <w:bCs/>
          <w:sz w:val="22"/>
          <w:szCs w:val="22"/>
        </w:rPr>
        <w:instrText>."</w:instrText>
      </w:r>
      <w:r w:rsidRPr="003248B2">
        <w:rPr>
          <w:rFonts w:cstheme="minorHAnsi"/>
          <w:b/>
          <w:bCs/>
          <w:sz w:val="22"/>
          <w:szCs w:val="22"/>
        </w:rPr>
      </w:r>
      <w:r w:rsidRPr="003248B2">
        <w:rPr>
          <w:rFonts w:cstheme="minorHAnsi"/>
          <w:b/>
          <w:bCs/>
          <w:sz w:val="22"/>
          <w:szCs w:val="22"/>
        </w:rPr>
        <w:fldChar w:fldCharType="separate"/>
      </w:r>
      <w:r w:rsidRPr="003248B2">
        <w:rPr>
          <w:rStyle w:val="Hyperlink"/>
          <w:rFonts w:cstheme="minorHAnsi"/>
          <w:b/>
          <w:bCs/>
          <w:sz w:val="22"/>
          <w:szCs w:val="22"/>
        </w:rPr>
        <w:t>[8]</w:t>
      </w:r>
      <w:r w:rsidRPr="003248B2">
        <w:rPr>
          <w:rFonts w:cstheme="minorHAnsi"/>
          <w:b/>
          <w:bCs/>
          <w:sz w:val="22"/>
          <w:szCs w:val="22"/>
        </w:rPr>
        <w:fldChar w:fldCharType="end"/>
      </w:r>
      <w:bookmarkEnd w:id="7"/>
      <w:r w:rsidRPr="003248B2">
        <w:rPr>
          <w:rFonts w:cstheme="minorHAnsi"/>
          <w:b/>
          <w:bCs/>
          <w:sz w:val="22"/>
          <w:szCs w:val="22"/>
        </w:rPr>
        <w:br/>
      </w:r>
      <w:r w:rsidRPr="003248B2">
        <w:rPr>
          <w:rFonts w:cstheme="minorHAnsi"/>
          <w:b/>
          <w:bCs/>
          <w:sz w:val="22"/>
          <w:szCs w:val="22"/>
          <w:rtl/>
        </w:rPr>
        <w:t>این دو روایت سیزده سالگی را برای سن بلوغ زنان معتبر دانسته اند. روایت ابن سنان صحیحه و روایت عمار موثقه است</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روایاتی دیگر در تفسیر «بلوغ اشد» وارد شده و آن را به رسیدن به سن سیزده سالگی تفسیر نموده اند بدون آنکه این سن را به مردان اختصاص داده باشد</w:t>
      </w:r>
      <w:r w:rsidRPr="003248B2">
        <w:rPr>
          <w:rFonts w:cstheme="minorHAnsi"/>
          <w:b/>
          <w:bCs/>
          <w:sz w:val="22"/>
          <w:szCs w:val="22"/>
        </w:rPr>
        <w:t>.</w:t>
      </w:r>
      <w:r w:rsidRPr="003248B2">
        <w:rPr>
          <w:rFonts w:cstheme="minorHAnsi"/>
          <w:b/>
          <w:bCs/>
          <w:sz w:val="22"/>
          <w:szCs w:val="22"/>
        </w:rPr>
        <w:br/>
        <w:t>«</w:t>
      </w:r>
      <w:r w:rsidRPr="003248B2">
        <w:rPr>
          <w:rFonts w:cstheme="minorHAnsi"/>
          <w:b/>
          <w:bCs/>
          <w:sz w:val="22"/>
          <w:szCs w:val="22"/>
          <w:rtl/>
        </w:rPr>
        <w:t>عن عبدالله بن سنان، عن أبي عبدالله ( عليه السلام ) قال : سأله أبي وأنا حاضر عن قول الله عزّ وجّل : (حتى إذا بلغ أشده) قال : الاحتلام، قال </w:t>
      </w:r>
      <w:r w:rsidRPr="003248B2">
        <w:rPr>
          <w:rFonts w:cstheme="minorHAnsi"/>
          <w:b/>
          <w:bCs/>
          <w:sz w:val="22"/>
          <w:szCs w:val="22"/>
        </w:rPr>
        <w:t>: </w:t>
      </w:r>
      <w:r w:rsidRPr="003248B2">
        <w:rPr>
          <w:rFonts w:cstheme="minorHAnsi"/>
          <w:b/>
          <w:bCs/>
          <w:sz w:val="22"/>
          <w:szCs w:val="22"/>
          <w:rtl/>
        </w:rPr>
        <w:t>فقال : يحتلم في ست عشرة وسبع عشرة سنة ونحوها، فقال : لا إذا أتت عليه ثلاث عشرة سنة كتبت له الحسنات وكتبت عليه السسيئات، وجاز أمره إلا أن يكون سفيها أو ضعيفا</w:t>
      </w:r>
      <w:r w:rsidRPr="003248B2">
        <w:rPr>
          <w:rFonts w:cstheme="minorHAnsi"/>
          <w:b/>
          <w:bCs/>
          <w:sz w:val="22"/>
          <w:szCs w:val="22"/>
        </w:rPr>
        <w:t>»</w:t>
      </w:r>
      <w:bookmarkStart w:id="8" w:name="_ftnref9"/>
      <w:r w:rsidRPr="003248B2">
        <w:rPr>
          <w:rFonts w:cstheme="minorHAnsi"/>
          <w:b/>
          <w:bCs/>
          <w:sz w:val="22"/>
          <w:szCs w:val="22"/>
        </w:rPr>
        <w:fldChar w:fldCharType="begin"/>
      </w:r>
      <w:r w:rsidRPr="003248B2">
        <w:rPr>
          <w:rFonts w:cstheme="minorHAnsi"/>
          <w:b/>
          <w:bCs/>
          <w:sz w:val="22"/>
          <w:szCs w:val="22"/>
        </w:rPr>
        <w:instrText>HYPERLINK "https://eshia.ir/feqh/archive/text/jazayeri/feqh/93/940124/" \l "_ftn9" \o "</w:instrText>
      </w:r>
      <w:r w:rsidRPr="003248B2">
        <w:rPr>
          <w:rFonts w:cstheme="minorHAnsi"/>
          <w:b/>
          <w:bCs/>
          <w:sz w:val="22"/>
          <w:szCs w:val="22"/>
          <w:rtl/>
        </w:rPr>
        <w:instrText>وسائل الشیعه،</w:instrText>
      </w:r>
      <w:r w:rsidRPr="003248B2">
        <w:rPr>
          <w:rFonts w:cstheme="minorHAnsi"/>
          <w:b/>
          <w:bCs/>
          <w:sz w:val="22"/>
          <w:szCs w:val="22"/>
        </w:rPr>
        <w:instrText xml:space="preserve">
</w:instrText>
      </w:r>
      <w:r w:rsidRPr="003248B2">
        <w:rPr>
          <w:rFonts w:cstheme="minorHAnsi"/>
          <w:b/>
          <w:bCs/>
          <w:sz w:val="22"/>
          <w:szCs w:val="22"/>
          <w:rtl/>
        </w:rPr>
        <w:instrText>شیخ حر عاملی، ج 19، ص 363، کتاب الوصایا، باب44، شماره 24768،</w:instrText>
      </w:r>
      <w:r w:rsidRPr="003248B2">
        <w:rPr>
          <w:rFonts w:cstheme="minorHAnsi"/>
          <w:b/>
          <w:bCs/>
          <w:sz w:val="22"/>
          <w:szCs w:val="22"/>
        </w:rPr>
        <w:instrText xml:space="preserve">
</w:instrText>
      </w:r>
      <w:r w:rsidRPr="003248B2">
        <w:rPr>
          <w:rFonts w:cstheme="minorHAnsi"/>
          <w:b/>
          <w:bCs/>
          <w:sz w:val="22"/>
          <w:szCs w:val="22"/>
          <w:rtl/>
        </w:rPr>
        <w:instrText>ح8،ط آل البیت</w:instrText>
      </w:r>
      <w:r w:rsidRPr="003248B2">
        <w:rPr>
          <w:rFonts w:cstheme="minorHAnsi"/>
          <w:b/>
          <w:bCs/>
          <w:sz w:val="22"/>
          <w:szCs w:val="22"/>
        </w:rPr>
        <w:instrText>."</w:instrText>
      </w:r>
      <w:r w:rsidRPr="003248B2">
        <w:rPr>
          <w:rFonts w:cstheme="minorHAnsi"/>
          <w:b/>
          <w:bCs/>
          <w:sz w:val="22"/>
          <w:szCs w:val="22"/>
        </w:rPr>
      </w:r>
      <w:r w:rsidRPr="003248B2">
        <w:rPr>
          <w:rFonts w:cstheme="minorHAnsi"/>
          <w:b/>
          <w:bCs/>
          <w:sz w:val="22"/>
          <w:szCs w:val="22"/>
        </w:rPr>
        <w:fldChar w:fldCharType="separate"/>
      </w:r>
      <w:r w:rsidRPr="003248B2">
        <w:rPr>
          <w:rStyle w:val="Hyperlink"/>
          <w:rFonts w:cstheme="minorHAnsi"/>
          <w:b/>
          <w:bCs/>
          <w:sz w:val="22"/>
          <w:szCs w:val="22"/>
        </w:rPr>
        <w:t>[9]</w:t>
      </w:r>
      <w:r w:rsidRPr="003248B2">
        <w:rPr>
          <w:rFonts w:cstheme="minorHAnsi"/>
          <w:b/>
          <w:bCs/>
          <w:sz w:val="22"/>
          <w:szCs w:val="22"/>
        </w:rPr>
        <w:fldChar w:fldCharType="end"/>
      </w:r>
      <w:bookmarkEnd w:id="8"/>
      <w:r w:rsidRPr="003248B2">
        <w:rPr>
          <w:rFonts w:cstheme="minorHAnsi"/>
          <w:b/>
          <w:bCs/>
          <w:sz w:val="22"/>
          <w:szCs w:val="22"/>
        </w:rPr>
        <w:br/>
      </w:r>
      <w:r w:rsidRPr="003248B2">
        <w:rPr>
          <w:rFonts w:cstheme="minorHAnsi"/>
          <w:b/>
          <w:bCs/>
          <w:sz w:val="22"/>
          <w:szCs w:val="22"/>
          <w:rtl/>
        </w:rPr>
        <w:t>امام علیه السلام در این روایت بلوغ اشد را به سیزده سالگی تفسیر نموده اند و تفصیلی بین مرد و زن نیاورده اند. مستدلین به این روایت می خواهند به اطلاع موجود در روایت استناد کنند</w:t>
      </w:r>
      <w:r w:rsidRPr="003248B2">
        <w:rPr>
          <w:rFonts w:cstheme="minorHAnsi"/>
          <w:b/>
          <w:bCs/>
          <w:sz w:val="22"/>
          <w:szCs w:val="22"/>
        </w:rPr>
        <w:t>.</w:t>
      </w:r>
      <w:r w:rsidRPr="003248B2">
        <w:rPr>
          <w:rFonts w:cstheme="minorHAnsi"/>
          <w:b/>
          <w:bCs/>
          <w:sz w:val="22"/>
          <w:szCs w:val="22"/>
        </w:rPr>
        <w:br/>
      </w:r>
      <w:r w:rsidRPr="003248B2">
        <w:rPr>
          <w:rFonts w:cstheme="minorHAnsi"/>
          <w:b/>
          <w:bCs/>
          <w:sz w:val="22"/>
          <w:szCs w:val="22"/>
          <w:rtl/>
        </w:rPr>
        <w:t>در روایت دیگر نیز امام علیه السلام سن بلوغ اشد را سیزده سال دانسته اند</w:t>
      </w:r>
      <w:r w:rsidRPr="003248B2">
        <w:rPr>
          <w:rFonts w:cstheme="minorHAnsi"/>
          <w:b/>
          <w:bCs/>
          <w:sz w:val="22"/>
          <w:szCs w:val="22"/>
        </w:rPr>
        <w:t>. «</w:t>
      </w:r>
      <w:r w:rsidRPr="003248B2">
        <w:rPr>
          <w:rFonts w:cstheme="minorHAnsi"/>
          <w:b/>
          <w:bCs/>
          <w:sz w:val="22"/>
          <w:szCs w:val="22"/>
          <w:rtl/>
        </w:rPr>
        <w:t>عن عبدالله بن سنان، عن أبي عبدالله (عليه السلام) قال : إذا بلغ أشده ثلاث عشرة سنة ودخل في الاربع عشرة وجب عليه ما وجب على المسلمين، احتلم أم لم يحتلم</w:t>
      </w:r>
      <w:r w:rsidRPr="003248B2">
        <w:rPr>
          <w:rFonts w:cstheme="minorHAnsi"/>
          <w:b/>
          <w:bCs/>
          <w:sz w:val="22"/>
          <w:szCs w:val="22"/>
        </w:rPr>
        <w:t>»</w:t>
      </w:r>
      <w:bookmarkStart w:id="9" w:name="_ftnref10"/>
      <w:r w:rsidRPr="003248B2">
        <w:rPr>
          <w:rFonts w:cstheme="minorHAnsi"/>
          <w:b/>
          <w:bCs/>
          <w:sz w:val="22"/>
          <w:szCs w:val="22"/>
        </w:rPr>
        <w:fldChar w:fldCharType="begin"/>
      </w:r>
      <w:r w:rsidRPr="003248B2">
        <w:rPr>
          <w:rFonts w:cstheme="minorHAnsi"/>
          <w:b/>
          <w:bCs/>
          <w:sz w:val="22"/>
          <w:szCs w:val="22"/>
        </w:rPr>
        <w:instrText>HYPERLINK "https://eshia.ir/feqh/archive/text/jazayeri/feqh/93/940124/" \l "_ftn10" \o "</w:instrText>
      </w:r>
      <w:r w:rsidRPr="003248B2">
        <w:rPr>
          <w:rFonts w:cstheme="minorHAnsi"/>
          <w:b/>
          <w:bCs/>
          <w:sz w:val="22"/>
          <w:szCs w:val="22"/>
          <w:rtl/>
        </w:rPr>
        <w:instrText>وسائل الشیعه،</w:instrText>
      </w:r>
      <w:r w:rsidRPr="003248B2">
        <w:rPr>
          <w:rFonts w:cstheme="minorHAnsi"/>
          <w:b/>
          <w:bCs/>
          <w:sz w:val="22"/>
          <w:szCs w:val="22"/>
        </w:rPr>
        <w:instrText xml:space="preserve">
</w:instrText>
      </w:r>
      <w:r w:rsidRPr="003248B2">
        <w:rPr>
          <w:rFonts w:cstheme="minorHAnsi"/>
          <w:b/>
          <w:bCs/>
          <w:sz w:val="22"/>
          <w:szCs w:val="22"/>
          <w:rtl/>
        </w:rPr>
        <w:instrText>شیخ حر عاملی، ج 17، ص 361، ابواب عقد البیع و شروطه، باب14،</w:instrText>
      </w:r>
      <w:r w:rsidRPr="003248B2">
        <w:rPr>
          <w:rFonts w:cstheme="minorHAnsi"/>
          <w:b/>
          <w:bCs/>
          <w:sz w:val="22"/>
          <w:szCs w:val="22"/>
        </w:rPr>
        <w:instrText xml:space="preserve">
</w:instrText>
      </w:r>
      <w:r w:rsidRPr="003248B2">
        <w:rPr>
          <w:rFonts w:cstheme="minorHAnsi"/>
          <w:b/>
          <w:bCs/>
          <w:sz w:val="22"/>
          <w:szCs w:val="22"/>
          <w:rtl/>
        </w:rPr>
        <w:instrText>شماره 22753، ح3،ط آل البیت</w:instrText>
      </w:r>
      <w:r w:rsidRPr="003248B2">
        <w:rPr>
          <w:rFonts w:cstheme="minorHAnsi"/>
          <w:b/>
          <w:bCs/>
          <w:sz w:val="22"/>
          <w:szCs w:val="22"/>
        </w:rPr>
        <w:instrText>."</w:instrText>
      </w:r>
      <w:r w:rsidRPr="003248B2">
        <w:rPr>
          <w:rFonts w:cstheme="minorHAnsi"/>
          <w:b/>
          <w:bCs/>
          <w:sz w:val="22"/>
          <w:szCs w:val="22"/>
        </w:rPr>
      </w:r>
      <w:r w:rsidRPr="003248B2">
        <w:rPr>
          <w:rFonts w:cstheme="minorHAnsi"/>
          <w:b/>
          <w:bCs/>
          <w:sz w:val="22"/>
          <w:szCs w:val="22"/>
        </w:rPr>
        <w:fldChar w:fldCharType="separate"/>
      </w:r>
      <w:r w:rsidRPr="003248B2">
        <w:rPr>
          <w:rStyle w:val="Hyperlink"/>
          <w:rFonts w:cstheme="minorHAnsi"/>
          <w:b/>
          <w:bCs/>
          <w:sz w:val="22"/>
          <w:szCs w:val="22"/>
        </w:rPr>
        <w:t>[10]</w:t>
      </w:r>
      <w:r w:rsidRPr="003248B2">
        <w:rPr>
          <w:rFonts w:cstheme="minorHAnsi"/>
          <w:b/>
          <w:bCs/>
          <w:sz w:val="22"/>
          <w:szCs w:val="22"/>
        </w:rPr>
        <w:fldChar w:fldCharType="end"/>
      </w:r>
      <w:bookmarkEnd w:id="9"/>
      <w:r w:rsidRPr="003248B2">
        <w:rPr>
          <w:rFonts w:cstheme="minorHAnsi"/>
          <w:b/>
          <w:bCs/>
          <w:sz w:val="22"/>
          <w:szCs w:val="22"/>
        </w:rPr>
        <w:br/>
      </w:r>
      <w:r w:rsidRPr="003248B2">
        <w:rPr>
          <w:rFonts w:cstheme="minorHAnsi"/>
          <w:b/>
          <w:bCs/>
          <w:sz w:val="22"/>
          <w:szCs w:val="22"/>
          <w:rtl/>
        </w:rPr>
        <w:t>انشا الله در جلسات آینده به ادامه بحث خواهیم پرداخت</w:t>
      </w:r>
      <w:r w:rsidRPr="003248B2">
        <w:rPr>
          <w:rFonts w:cstheme="minorHAnsi"/>
          <w:b/>
          <w:bCs/>
          <w:sz w:val="22"/>
          <w:szCs w:val="22"/>
        </w:rPr>
        <w:t>.</w:t>
      </w:r>
    </w:p>
    <w:p w14:paraId="29D683B6" w14:textId="77777777" w:rsidR="003248B2" w:rsidRPr="003248B2" w:rsidRDefault="003248B2" w:rsidP="003248B2">
      <w:pPr>
        <w:jc w:val="right"/>
      </w:pPr>
    </w:p>
    <w:p w14:paraId="2587B17D" w14:textId="77777777" w:rsidR="003248B2" w:rsidRPr="003248B2" w:rsidRDefault="003248B2" w:rsidP="003248B2">
      <w:pPr>
        <w:jc w:val="right"/>
      </w:pPr>
      <w:r w:rsidRPr="003248B2">
        <w:pict w14:anchorId="79C66126">
          <v:rect id="_x0000_i1031" style="width:0;height:1.5pt" o:hralign="center" o:hrstd="t" o:hr="t" fillcolor="#a0a0a0" stroked="f"/>
        </w:pict>
      </w:r>
    </w:p>
    <w:bookmarkStart w:id="10" w:name="_ftn1"/>
    <w:p w14:paraId="61B0D01D" w14:textId="77777777" w:rsidR="003248B2" w:rsidRPr="003248B2" w:rsidRDefault="003248B2" w:rsidP="003248B2">
      <w:pPr>
        <w:jc w:val="right"/>
      </w:pPr>
      <w:r w:rsidRPr="003248B2">
        <w:fldChar w:fldCharType="begin"/>
      </w:r>
      <w:r w:rsidRPr="003248B2">
        <w:instrText>HYPERLINK "https://eshia.ir/feqh/archive/text/jazayeri/feqh/93/940124/" \l "_ftnref1" \o ""</w:instrText>
      </w:r>
      <w:r w:rsidRPr="003248B2">
        <w:fldChar w:fldCharType="separate"/>
      </w:r>
      <w:r w:rsidRPr="003248B2">
        <w:rPr>
          <w:rStyle w:val="Hyperlink"/>
        </w:rPr>
        <w:t>[1]</w:t>
      </w:r>
      <w:r w:rsidRPr="003248B2">
        <w:fldChar w:fldCharType="end"/>
      </w:r>
      <w:bookmarkEnd w:id="10"/>
      <w:r w:rsidRPr="003248B2">
        <w:t> </w:t>
      </w:r>
      <w:hyperlink r:id="rId4" w:tgtFrame="_blank" w:history="1">
        <w:r w:rsidRPr="003248B2">
          <w:rPr>
            <w:rStyle w:val="Hyperlink"/>
            <w:rtl/>
          </w:rPr>
          <w:t>وسائل الشیعه، شیخ حر عاملی، ج 19، ص 362، کتاب الوصایا، باب44، شماره 24763، ح3،ط آل البیت</w:t>
        </w:r>
        <w:r w:rsidRPr="003248B2">
          <w:rPr>
            <w:rStyle w:val="Hyperlink"/>
          </w:rPr>
          <w:t>.</w:t>
        </w:r>
      </w:hyperlink>
    </w:p>
    <w:bookmarkStart w:id="11" w:name="_ftn2"/>
    <w:p w14:paraId="572CE238" w14:textId="77777777" w:rsidR="003248B2" w:rsidRPr="003248B2" w:rsidRDefault="003248B2" w:rsidP="003248B2">
      <w:pPr>
        <w:jc w:val="right"/>
      </w:pPr>
      <w:r w:rsidRPr="003248B2">
        <w:fldChar w:fldCharType="begin"/>
      </w:r>
      <w:r w:rsidRPr="003248B2">
        <w:instrText>HYPERLINK "https://eshia.ir/feqh/archive/text/jazayeri/feqh/93/940124/" \l "_ftnref2" \o ""</w:instrText>
      </w:r>
      <w:r w:rsidRPr="003248B2">
        <w:fldChar w:fldCharType="separate"/>
      </w:r>
      <w:r w:rsidRPr="003248B2">
        <w:rPr>
          <w:rStyle w:val="Hyperlink"/>
        </w:rPr>
        <w:t>[2]</w:t>
      </w:r>
      <w:r w:rsidRPr="003248B2">
        <w:fldChar w:fldCharType="end"/>
      </w:r>
      <w:bookmarkEnd w:id="11"/>
      <w:r w:rsidRPr="003248B2">
        <w:t> </w:t>
      </w:r>
      <w:hyperlink r:id="rId5" w:tgtFrame="_blank" w:history="1">
        <w:r w:rsidRPr="003248B2">
          <w:rPr>
            <w:rStyle w:val="Hyperlink"/>
            <w:rtl/>
          </w:rPr>
          <w:t>وسائل الشیعه، شیخ حر عاملی، ج 28، ص 82، ابواب حد زنا، باب9، شماره 34265، ح1،ط آل البیت</w:t>
        </w:r>
        <w:r w:rsidRPr="003248B2">
          <w:rPr>
            <w:rStyle w:val="Hyperlink"/>
          </w:rPr>
          <w:t>.</w:t>
        </w:r>
      </w:hyperlink>
    </w:p>
    <w:bookmarkStart w:id="12" w:name="_ftn3"/>
    <w:p w14:paraId="6FEF5795" w14:textId="77777777" w:rsidR="003248B2" w:rsidRPr="003248B2" w:rsidRDefault="003248B2" w:rsidP="003248B2">
      <w:pPr>
        <w:jc w:val="right"/>
      </w:pPr>
      <w:r w:rsidRPr="003248B2">
        <w:fldChar w:fldCharType="begin"/>
      </w:r>
      <w:r w:rsidRPr="003248B2">
        <w:instrText>HYPERLINK "https://eshia.ir/feqh/archive/text/jazayeri/feqh/93/940124/" \l "_ftnref3" \o ""</w:instrText>
      </w:r>
      <w:r w:rsidRPr="003248B2">
        <w:fldChar w:fldCharType="separate"/>
      </w:r>
      <w:r w:rsidRPr="003248B2">
        <w:rPr>
          <w:rStyle w:val="Hyperlink"/>
        </w:rPr>
        <w:t>[3]</w:t>
      </w:r>
      <w:r w:rsidRPr="003248B2">
        <w:fldChar w:fldCharType="end"/>
      </w:r>
      <w:bookmarkEnd w:id="12"/>
      <w:r w:rsidRPr="003248B2">
        <w:t> </w:t>
      </w:r>
      <w:hyperlink r:id="rId6" w:tgtFrame="_blank" w:history="1">
        <w:r w:rsidRPr="003248B2">
          <w:rPr>
            <w:rStyle w:val="Hyperlink"/>
            <w:rtl/>
          </w:rPr>
          <w:t>وسائل الشیعه، شیخ حر عاملی، ج 20، ص 104، ابواب مقدمات النکاح و آدابه، باب45، شماره 25151، ح10،ط آل البیت</w:t>
        </w:r>
        <w:r w:rsidRPr="003248B2">
          <w:rPr>
            <w:rStyle w:val="Hyperlink"/>
          </w:rPr>
          <w:t>.</w:t>
        </w:r>
      </w:hyperlink>
    </w:p>
    <w:bookmarkStart w:id="13" w:name="_ftn4"/>
    <w:p w14:paraId="4BFFD5C8" w14:textId="77777777" w:rsidR="003248B2" w:rsidRPr="003248B2" w:rsidRDefault="003248B2" w:rsidP="003248B2">
      <w:pPr>
        <w:jc w:val="right"/>
      </w:pPr>
      <w:r w:rsidRPr="003248B2">
        <w:fldChar w:fldCharType="begin"/>
      </w:r>
      <w:r w:rsidRPr="003248B2">
        <w:instrText>HYPERLINK "https://eshia.ir/feqh/archive/text/jazayeri/feqh/93/940124/" \l "_ftnref4" \o ""</w:instrText>
      </w:r>
      <w:r w:rsidRPr="003248B2">
        <w:fldChar w:fldCharType="separate"/>
      </w:r>
      <w:r w:rsidRPr="003248B2">
        <w:rPr>
          <w:rStyle w:val="Hyperlink"/>
        </w:rPr>
        <w:t>[4]</w:t>
      </w:r>
      <w:r w:rsidRPr="003248B2">
        <w:fldChar w:fldCharType="end"/>
      </w:r>
      <w:bookmarkEnd w:id="13"/>
      <w:r w:rsidRPr="003248B2">
        <w:t> </w:t>
      </w:r>
      <w:hyperlink r:id="rId7" w:tgtFrame="_blank" w:history="1">
        <w:r w:rsidRPr="003248B2">
          <w:rPr>
            <w:rStyle w:val="Hyperlink"/>
            <w:rtl/>
          </w:rPr>
          <w:t>وسائل الشیعه، شیخ حر عاملی، ج 21، ص 36، ابواب المتعه، باب12، شماره 26462، ح2،ط آل البیت</w:t>
        </w:r>
        <w:r w:rsidRPr="003248B2">
          <w:rPr>
            <w:rStyle w:val="Hyperlink"/>
          </w:rPr>
          <w:t>.</w:t>
        </w:r>
      </w:hyperlink>
    </w:p>
    <w:bookmarkStart w:id="14" w:name="_ftn5"/>
    <w:p w14:paraId="30B92DCD" w14:textId="77777777" w:rsidR="003248B2" w:rsidRPr="003248B2" w:rsidRDefault="003248B2" w:rsidP="003248B2">
      <w:pPr>
        <w:jc w:val="right"/>
      </w:pPr>
      <w:r w:rsidRPr="003248B2">
        <w:fldChar w:fldCharType="begin"/>
      </w:r>
      <w:r w:rsidRPr="003248B2">
        <w:instrText>HYPERLINK "https://eshia.ir/feqh/archive/text/jazayeri/feqh/93/940124/" \l "_ftnref5" \o ""</w:instrText>
      </w:r>
      <w:r w:rsidRPr="003248B2">
        <w:fldChar w:fldCharType="separate"/>
      </w:r>
      <w:r w:rsidRPr="003248B2">
        <w:rPr>
          <w:rStyle w:val="Hyperlink"/>
        </w:rPr>
        <w:t>[5]</w:t>
      </w:r>
      <w:r w:rsidRPr="003248B2">
        <w:fldChar w:fldCharType="end"/>
      </w:r>
      <w:bookmarkEnd w:id="14"/>
      <w:r w:rsidRPr="003248B2">
        <w:t> </w:t>
      </w:r>
      <w:hyperlink r:id="rId8" w:tgtFrame="_blank" w:history="1">
        <w:r w:rsidRPr="003248B2">
          <w:rPr>
            <w:rStyle w:val="Hyperlink"/>
            <w:rtl/>
          </w:rPr>
          <w:t>وسائل الشیعه، شیخ حر عاملی، ج 19، ص 365، ابواب الوصایا، باب44، شماره 24772، ح12،ط آل البیت</w:t>
        </w:r>
        <w:r w:rsidRPr="003248B2">
          <w:rPr>
            <w:rStyle w:val="Hyperlink"/>
          </w:rPr>
          <w:t>.</w:t>
        </w:r>
      </w:hyperlink>
    </w:p>
    <w:bookmarkStart w:id="15" w:name="_ftn6"/>
    <w:p w14:paraId="4B1EEAA3" w14:textId="77777777" w:rsidR="003248B2" w:rsidRPr="003248B2" w:rsidRDefault="003248B2" w:rsidP="003248B2">
      <w:pPr>
        <w:jc w:val="right"/>
      </w:pPr>
      <w:r w:rsidRPr="003248B2">
        <w:lastRenderedPageBreak/>
        <w:fldChar w:fldCharType="begin"/>
      </w:r>
      <w:r w:rsidRPr="003248B2">
        <w:instrText>HYPERLINK "https://eshia.ir/feqh/archive/text/jazayeri/feqh/93/940124/" \l "_ftnref6" \o ""</w:instrText>
      </w:r>
      <w:r w:rsidRPr="003248B2">
        <w:fldChar w:fldCharType="separate"/>
      </w:r>
      <w:r w:rsidRPr="003248B2">
        <w:rPr>
          <w:rStyle w:val="Hyperlink"/>
        </w:rPr>
        <w:t>[6]</w:t>
      </w:r>
      <w:r w:rsidRPr="003248B2">
        <w:fldChar w:fldCharType="end"/>
      </w:r>
      <w:bookmarkEnd w:id="15"/>
      <w:r w:rsidRPr="003248B2">
        <w:t> </w:t>
      </w:r>
      <w:hyperlink r:id="rId9" w:tgtFrame="_blank" w:history="1">
        <w:r w:rsidRPr="003248B2">
          <w:rPr>
            <w:rStyle w:val="Hyperlink"/>
            <w:rtl/>
          </w:rPr>
          <w:t>وسائل الشیعه، شیخ حر عاملی، ج 1، ص 43، ابواب مقدمه العبادات، باب4، شماره 72، ح2،ط آل البیت</w:t>
        </w:r>
        <w:r w:rsidRPr="003248B2">
          <w:rPr>
            <w:rStyle w:val="Hyperlink"/>
          </w:rPr>
          <w:t>.</w:t>
        </w:r>
      </w:hyperlink>
    </w:p>
    <w:bookmarkStart w:id="16" w:name="_ftn7"/>
    <w:p w14:paraId="7C1C4EE5" w14:textId="77777777" w:rsidR="003248B2" w:rsidRPr="003248B2" w:rsidRDefault="003248B2" w:rsidP="003248B2">
      <w:pPr>
        <w:jc w:val="right"/>
      </w:pPr>
      <w:r w:rsidRPr="003248B2">
        <w:fldChar w:fldCharType="begin"/>
      </w:r>
      <w:r w:rsidRPr="003248B2">
        <w:instrText>HYPERLINK "https://eshia.ir/feqh/archive/text/jazayeri/feqh/93/940124/" \l "_ftnref7" \o ""</w:instrText>
      </w:r>
      <w:r w:rsidRPr="003248B2">
        <w:fldChar w:fldCharType="separate"/>
      </w:r>
      <w:r w:rsidRPr="003248B2">
        <w:rPr>
          <w:rStyle w:val="Hyperlink"/>
        </w:rPr>
        <w:t>[7]</w:t>
      </w:r>
      <w:r w:rsidRPr="003248B2">
        <w:fldChar w:fldCharType="end"/>
      </w:r>
      <w:bookmarkEnd w:id="16"/>
      <w:r w:rsidRPr="003248B2">
        <w:t> </w:t>
      </w:r>
      <w:hyperlink r:id="rId10" w:tgtFrame="_blank" w:history="1">
        <w:r w:rsidRPr="003248B2">
          <w:rPr>
            <w:rStyle w:val="Hyperlink"/>
            <w:rtl/>
          </w:rPr>
          <w:t>وسائل الشیعه، شیخ حر عاملی، ج 20، ص 101، ابواب مقدمات النکاح و آدابه، باب45، شماره 25142، ح1،ط آل البیت</w:t>
        </w:r>
        <w:r w:rsidRPr="003248B2">
          <w:rPr>
            <w:rStyle w:val="Hyperlink"/>
          </w:rPr>
          <w:t>.</w:t>
        </w:r>
      </w:hyperlink>
    </w:p>
    <w:bookmarkStart w:id="17" w:name="_ftn8"/>
    <w:p w14:paraId="650BA5AB" w14:textId="77777777" w:rsidR="003248B2" w:rsidRPr="003248B2" w:rsidRDefault="003248B2" w:rsidP="003248B2">
      <w:pPr>
        <w:jc w:val="right"/>
      </w:pPr>
      <w:r w:rsidRPr="003248B2">
        <w:fldChar w:fldCharType="begin"/>
      </w:r>
      <w:r w:rsidRPr="003248B2">
        <w:instrText>HYPERLINK "https://eshia.ir/feqh/archive/text/jazayeri/feqh/93/940124/" \l "_ftnref8" \o ""</w:instrText>
      </w:r>
      <w:r w:rsidRPr="003248B2">
        <w:fldChar w:fldCharType="separate"/>
      </w:r>
      <w:r w:rsidRPr="003248B2">
        <w:rPr>
          <w:rStyle w:val="Hyperlink"/>
        </w:rPr>
        <w:t>[8]</w:t>
      </w:r>
      <w:r w:rsidRPr="003248B2">
        <w:fldChar w:fldCharType="end"/>
      </w:r>
      <w:bookmarkEnd w:id="17"/>
      <w:r w:rsidRPr="003248B2">
        <w:t> </w:t>
      </w:r>
      <w:hyperlink r:id="rId11" w:tgtFrame="_blank" w:history="1">
        <w:r w:rsidRPr="003248B2">
          <w:rPr>
            <w:rStyle w:val="Hyperlink"/>
            <w:rtl/>
          </w:rPr>
          <w:t>وسائل الشیعه، شیخ حر عاملی، ج 1، ص 45، ابواب مقدمات مقدمه العبادات، باب4، شماره 82، ح12،ط آل البیت</w:t>
        </w:r>
        <w:r w:rsidRPr="003248B2">
          <w:rPr>
            <w:rStyle w:val="Hyperlink"/>
          </w:rPr>
          <w:t>.</w:t>
        </w:r>
      </w:hyperlink>
    </w:p>
    <w:bookmarkStart w:id="18" w:name="_ftn9"/>
    <w:p w14:paraId="0ADF8257" w14:textId="77777777" w:rsidR="003248B2" w:rsidRPr="003248B2" w:rsidRDefault="003248B2" w:rsidP="003248B2">
      <w:pPr>
        <w:jc w:val="right"/>
      </w:pPr>
      <w:r w:rsidRPr="003248B2">
        <w:fldChar w:fldCharType="begin"/>
      </w:r>
      <w:r w:rsidRPr="003248B2">
        <w:instrText>HYPERLINK "https://eshia.ir/feqh/archive/text/jazayeri/feqh/93/940124/" \l "_ftnref9" \o ""</w:instrText>
      </w:r>
      <w:r w:rsidRPr="003248B2">
        <w:fldChar w:fldCharType="separate"/>
      </w:r>
      <w:r w:rsidRPr="003248B2">
        <w:rPr>
          <w:rStyle w:val="Hyperlink"/>
        </w:rPr>
        <w:t>[9]</w:t>
      </w:r>
      <w:r w:rsidRPr="003248B2">
        <w:fldChar w:fldCharType="end"/>
      </w:r>
      <w:bookmarkEnd w:id="18"/>
      <w:r w:rsidRPr="003248B2">
        <w:t> </w:t>
      </w:r>
      <w:hyperlink r:id="rId12" w:tgtFrame="_blank" w:history="1">
        <w:r w:rsidRPr="003248B2">
          <w:rPr>
            <w:rStyle w:val="Hyperlink"/>
            <w:rtl/>
          </w:rPr>
          <w:t>وسائل الشیعه، شیخ حر عاملی، ج 19، ص 363، کتاب الوصایا، باب44، شماره 24768، ح8،ط آل البیت</w:t>
        </w:r>
        <w:r w:rsidRPr="003248B2">
          <w:rPr>
            <w:rStyle w:val="Hyperlink"/>
          </w:rPr>
          <w:t>.</w:t>
        </w:r>
      </w:hyperlink>
    </w:p>
    <w:bookmarkStart w:id="19" w:name="_ftn10"/>
    <w:p w14:paraId="3B9808B1" w14:textId="77777777" w:rsidR="003248B2" w:rsidRPr="003248B2" w:rsidRDefault="003248B2" w:rsidP="003248B2">
      <w:pPr>
        <w:jc w:val="right"/>
      </w:pPr>
      <w:r w:rsidRPr="003248B2">
        <w:fldChar w:fldCharType="begin"/>
      </w:r>
      <w:r w:rsidRPr="003248B2">
        <w:instrText>HYPERLINK "https://eshia.ir/feqh/archive/text/jazayeri/feqh/93/940124/" \l "_ftnref10" \o ""</w:instrText>
      </w:r>
      <w:r w:rsidRPr="003248B2">
        <w:fldChar w:fldCharType="separate"/>
      </w:r>
      <w:r w:rsidRPr="003248B2">
        <w:rPr>
          <w:rStyle w:val="Hyperlink"/>
        </w:rPr>
        <w:t>[10]</w:t>
      </w:r>
      <w:r w:rsidRPr="003248B2">
        <w:fldChar w:fldCharType="end"/>
      </w:r>
      <w:bookmarkEnd w:id="19"/>
      <w:r w:rsidRPr="003248B2">
        <w:t> </w:t>
      </w:r>
      <w:hyperlink r:id="rId13" w:tgtFrame="_blank" w:history="1">
        <w:r w:rsidRPr="003248B2">
          <w:rPr>
            <w:rStyle w:val="Hyperlink"/>
            <w:rtl/>
          </w:rPr>
          <w:t>وسائل الشیعه، شیخ حر عاملی، ج 17، ص 361، ابواب عقد البیع و شروطه، باب14، شماره 22753، ح3،ط آل البیت</w:t>
        </w:r>
        <w:r w:rsidRPr="003248B2">
          <w:rPr>
            <w:rStyle w:val="Hyperlink"/>
          </w:rPr>
          <w:t>.</w:t>
        </w:r>
      </w:hyperlink>
    </w:p>
    <w:p w14:paraId="76F27B64" w14:textId="77777777" w:rsidR="00E404DB" w:rsidRDefault="00E404DB" w:rsidP="003248B2">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983"/>
    <w:rsid w:val="00005F60"/>
    <w:rsid w:val="002D517E"/>
    <w:rsid w:val="003248B2"/>
    <w:rsid w:val="00744983"/>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DEA76"/>
  <w15:chartTrackingRefBased/>
  <w15:docId w15:val="{7B39C8E5-33DC-469B-96AD-3A38D7181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49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449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449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449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449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449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49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49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49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9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449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449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449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449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449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49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49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4983"/>
    <w:rPr>
      <w:rFonts w:eastAsiaTheme="majorEastAsia" w:cstheme="majorBidi"/>
      <w:color w:val="272727" w:themeColor="text1" w:themeTint="D8"/>
    </w:rPr>
  </w:style>
  <w:style w:type="paragraph" w:styleId="Title">
    <w:name w:val="Title"/>
    <w:basedOn w:val="Normal"/>
    <w:next w:val="Normal"/>
    <w:link w:val="TitleChar"/>
    <w:uiPriority w:val="10"/>
    <w:qFormat/>
    <w:rsid w:val="007449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49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49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49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4983"/>
    <w:pPr>
      <w:spacing w:before="160"/>
      <w:jc w:val="center"/>
    </w:pPr>
    <w:rPr>
      <w:i/>
      <w:iCs/>
      <w:color w:val="404040" w:themeColor="text1" w:themeTint="BF"/>
    </w:rPr>
  </w:style>
  <w:style w:type="character" w:customStyle="1" w:styleId="QuoteChar">
    <w:name w:val="Quote Char"/>
    <w:basedOn w:val="DefaultParagraphFont"/>
    <w:link w:val="Quote"/>
    <w:uiPriority w:val="29"/>
    <w:rsid w:val="00744983"/>
    <w:rPr>
      <w:i/>
      <w:iCs/>
      <w:color w:val="404040" w:themeColor="text1" w:themeTint="BF"/>
    </w:rPr>
  </w:style>
  <w:style w:type="paragraph" w:styleId="ListParagraph">
    <w:name w:val="List Paragraph"/>
    <w:basedOn w:val="Normal"/>
    <w:uiPriority w:val="34"/>
    <w:qFormat/>
    <w:rsid w:val="00744983"/>
    <w:pPr>
      <w:ind w:left="720"/>
      <w:contextualSpacing/>
    </w:pPr>
  </w:style>
  <w:style w:type="character" w:styleId="IntenseEmphasis">
    <w:name w:val="Intense Emphasis"/>
    <w:basedOn w:val="DefaultParagraphFont"/>
    <w:uiPriority w:val="21"/>
    <w:qFormat/>
    <w:rsid w:val="00744983"/>
    <w:rPr>
      <w:i/>
      <w:iCs/>
      <w:color w:val="2F5496" w:themeColor="accent1" w:themeShade="BF"/>
    </w:rPr>
  </w:style>
  <w:style w:type="paragraph" w:styleId="IntenseQuote">
    <w:name w:val="Intense Quote"/>
    <w:basedOn w:val="Normal"/>
    <w:next w:val="Normal"/>
    <w:link w:val="IntenseQuoteChar"/>
    <w:uiPriority w:val="30"/>
    <w:qFormat/>
    <w:rsid w:val="007449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44983"/>
    <w:rPr>
      <w:i/>
      <w:iCs/>
      <w:color w:val="2F5496" w:themeColor="accent1" w:themeShade="BF"/>
    </w:rPr>
  </w:style>
  <w:style w:type="character" w:styleId="IntenseReference">
    <w:name w:val="Intense Reference"/>
    <w:basedOn w:val="DefaultParagraphFont"/>
    <w:uiPriority w:val="32"/>
    <w:qFormat/>
    <w:rsid w:val="00744983"/>
    <w:rPr>
      <w:b/>
      <w:bCs/>
      <w:smallCaps/>
      <w:color w:val="2F5496" w:themeColor="accent1" w:themeShade="BF"/>
      <w:spacing w:val="5"/>
    </w:rPr>
  </w:style>
  <w:style w:type="character" w:styleId="Hyperlink">
    <w:name w:val="Hyperlink"/>
    <w:basedOn w:val="DefaultParagraphFont"/>
    <w:uiPriority w:val="99"/>
    <w:unhideWhenUsed/>
    <w:rsid w:val="003248B2"/>
    <w:rPr>
      <w:color w:val="0563C1" w:themeColor="hyperlink"/>
      <w:u w:val="single"/>
    </w:rPr>
  </w:style>
  <w:style w:type="character" w:styleId="UnresolvedMention">
    <w:name w:val="Unresolved Mention"/>
    <w:basedOn w:val="DefaultParagraphFont"/>
    <w:uiPriority w:val="99"/>
    <w:semiHidden/>
    <w:unhideWhenUsed/>
    <w:rsid w:val="003248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eshia.ir/11025/19/365/%D8%AA%D8%B3%D8%B9" TargetMode="External"/><Relationship Id="rId13" Type="http://schemas.openxmlformats.org/officeDocument/2006/relationships/hyperlink" Target="http://lib.eshia.ir/11025/17/361/%D8%A3%D8%B4%D8%AF%D9%87" TargetMode="External"/><Relationship Id="rId3" Type="http://schemas.openxmlformats.org/officeDocument/2006/relationships/webSettings" Target="webSettings.xml"/><Relationship Id="rId7" Type="http://schemas.openxmlformats.org/officeDocument/2006/relationships/hyperlink" Target="http://lib.eshia.ir/11025/21/36/%D8%A7%D8%A8%D9%86%D8%A9" TargetMode="External"/><Relationship Id="rId12" Type="http://schemas.openxmlformats.org/officeDocument/2006/relationships/hyperlink" Target="http://lib.eshia.ir/11025/19/363/%D8%B3%D9%86%D8%A7%D9%8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20/104/%D8%A8%D9%84%D9%88%D8%BA" TargetMode="External"/><Relationship Id="rId11" Type="http://schemas.openxmlformats.org/officeDocument/2006/relationships/hyperlink" Target="http://lib.eshia.ir/11025/1/45/%D8%AB%D9%84%D8%A7%D8%AB" TargetMode="External"/><Relationship Id="rId5" Type="http://schemas.openxmlformats.org/officeDocument/2006/relationships/hyperlink" Target="http://lib.eshia.ir/11025/28/82/%DB%8C%D8%AF%D8%B1%DA%A9" TargetMode="External"/><Relationship Id="rId15" Type="http://schemas.openxmlformats.org/officeDocument/2006/relationships/theme" Target="theme/theme1.xml"/><Relationship Id="rId10" Type="http://schemas.openxmlformats.org/officeDocument/2006/relationships/hyperlink" Target="http://lib.eshia.ir/11025/20/101/%D8%A7%D9%84%D8%AD%D9%84%D8%A8%DB%8C" TargetMode="External"/><Relationship Id="rId4" Type="http://schemas.openxmlformats.org/officeDocument/2006/relationships/hyperlink" Target="http://lib.eshia.ir/11025/19/362/%D8%A7%D9%84%D8%BA%D9%84%D8%A7%D9%85" TargetMode="External"/><Relationship Id="rId9" Type="http://schemas.openxmlformats.org/officeDocument/2006/relationships/hyperlink" Target="http://lib.eshia.ir/11025/1/43/%D9%81%D8%A7%D9%84%D8%AC%D8%A7%D8%B1%D9%8A%D8%A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1653</Words>
  <Characters>9425</Characters>
  <Application>Microsoft Office Word</Application>
  <DocSecurity>0</DocSecurity>
  <Lines>78</Lines>
  <Paragraphs>22</Paragraphs>
  <ScaleCrop>false</ScaleCrop>
  <Company/>
  <LinksUpToDate>false</LinksUpToDate>
  <CharactersWithSpaces>11056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2025-11-26T22:40:00Z</dcterms:created>
  <dcterms:modified xsi:type="dcterms:W3CDTF">2025-11-26T22:41:00Z</dcterms:modified>
</cp:coreProperties>
</file>