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3E2634" w14:textId="77777777" w:rsidR="00FD3476" w:rsidRPr="00FD3476" w:rsidRDefault="00FD3476" w:rsidP="00FD3476">
      <w:pPr>
        <w:jc w:val="center"/>
        <w:rPr>
          <w:rFonts w:ascii="AhangVariable UltraBold" w:hAnsi="AhangVariable UltraBold" w:cs="AhangVariable UltraBold"/>
          <w:u w:val="single"/>
        </w:rPr>
      </w:pPr>
      <w:r w:rsidRPr="00FD3476">
        <w:rPr>
          <w:rFonts w:ascii="AhangVariable UltraBold" w:hAnsi="AhangVariable UltraBold" w:cs="AhangVariable UltraBold"/>
          <w:u w:val="single"/>
          <w:rtl/>
        </w:rPr>
        <w:t>موضوع </w:t>
      </w:r>
      <w:r w:rsidRPr="00FD3476">
        <w:rPr>
          <w:rFonts w:ascii="AhangVariable UltraBold" w:hAnsi="AhangVariable UltraBold" w:cs="AhangVariable UltraBold"/>
          <w:u w:val="single"/>
        </w:rPr>
        <w:t>: </w:t>
      </w:r>
      <w:r w:rsidRPr="00FD3476">
        <w:rPr>
          <w:rFonts w:ascii="AhangVariable UltraBold" w:hAnsi="AhangVariable UltraBold" w:cs="AhangVariable UltraBold"/>
          <w:u w:val="single"/>
          <w:rtl/>
        </w:rPr>
        <w:t>بانکداری اسلامی / عقود بانکی / اجاره / شروط متعاقدین/ بررسی شرطیت بلوغ متعاقدین</w:t>
      </w:r>
    </w:p>
    <w:p w14:paraId="61FD31B8" w14:textId="23785ABF" w:rsidR="00FD3476" w:rsidRPr="00FD3476" w:rsidRDefault="00FD3476" w:rsidP="00FD3476">
      <w:pPr>
        <w:jc w:val="right"/>
        <w:rPr>
          <w:rFonts w:cstheme="minorHAnsi"/>
          <w:b/>
          <w:bCs/>
          <w:sz w:val="22"/>
          <w:szCs w:val="22"/>
        </w:rPr>
      </w:pPr>
      <w:r w:rsidRPr="00FD3476">
        <w:rPr>
          <w:rFonts w:cstheme="minorHAnsi"/>
          <w:b/>
          <w:bCs/>
          <w:sz w:val="22"/>
          <w:szCs w:val="22"/>
        </w:rPr>
        <w:br/>
      </w:r>
      <w:r w:rsidRPr="00FD3476">
        <w:rPr>
          <w:rFonts w:cstheme="minorHAnsi"/>
          <w:b/>
          <w:bCs/>
          <w:sz w:val="22"/>
          <w:szCs w:val="22"/>
          <w:rtl/>
        </w:rPr>
        <w:t>بحث در بلوغ سنی دختران بود. گفتیم: قول مشهور میزان را اتمام نه سال می داند. مستند این قول روایات زیادی هستند که اکثر آنها صحیحه و موثقه است که دلالت آنها یا با ظهور مطابقی بر مدعاست و یا التزامی</w:t>
      </w:r>
      <w:r w:rsidRPr="00FD3476">
        <w:rPr>
          <w:rFonts w:cstheme="minorHAnsi"/>
          <w:b/>
          <w:bCs/>
          <w:sz w:val="22"/>
          <w:szCs w:val="22"/>
        </w:rPr>
        <w:t>.</w:t>
      </w:r>
      <w:r w:rsidRPr="00FD3476">
        <w:rPr>
          <w:rFonts w:cstheme="minorHAnsi"/>
          <w:b/>
          <w:bCs/>
          <w:sz w:val="22"/>
          <w:szCs w:val="22"/>
        </w:rPr>
        <w:br/>
      </w:r>
      <w:r w:rsidRPr="00FD3476">
        <w:rPr>
          <w:rFonts w:cstheme="minorHAnsi"/>
          <w:b/>
          <w:bCs/>
          <w:sz w:val="22"/>
          <w:szCs w:val="22"/>
          <w:rtl/>
        </w:rPr>
        <w:t>اعتبار سیزده سالگی در بلوغ دختران</w:t>
      </w:r>
      <w:r w:rsidRPr="00FD3476">
        <w:rPr>
          <w:rFonts w:cstheme="minorHAnsi"/>
          <w:b/>
          <w:bCs/>
          <w:sz w:val="22"/>
          <w:szCs w:val="22"/>
        </w:rPr>
        <w:br/>
      </w:r>
      <w:r w:rsidRPr="00FD3476">
        <w:rPr>
          <w:rFonts w:cstheme="minorHAnsi"/>
          <w:b/>
          <w:bCs/>
          <w:sz w:val="22"/>
          <w:szCs w:val="22"/>
          <w:rtl/>
        </w:rPr>
        <w:t>در مقابل قول مشهور، جمعی قائل به اعتبار اتمام سیزده سالگی شدند و در مقام استدلال به روایاتی همچون روایات زیر استناد کرده اند</w:t>
      </w:r>
      <w:r w:rsidRPr="00FD3476">
        <w:rPr>
          <w:rFonts w:cstheme="minorHAnsi"/>
          <w:b/>
          <w:bCs/>
          <w:sz w:val="22"/>
          <w:szCs w:val="22"/>
        </w:rPr>
        <w:t>.</w:t>
      </w:r>
      <w:r w:rsidRPr="00FD3476">
        <w:rPr>
          <w:rFonts w:cstheme="minorHAnsi"/>
          <w:b/>
          <w:bCs/>
          <w:sz w:val="22"/>
          <w:szCs w:val="22"/>
        </w:rPr>
        <w:br/>
      </w:r>
      <w:r w:rsidRPr="00FD3476">
        <w:rPr>
          <w:rFonts w:cstheme="minorHAnsi"/>
          <w:b/>
          <w:bCs/>
          <w:sz w:val="22"/>
          <w:szCs w:val="22"/>
          <w:rtl/>
        </w:rPr>
        <w:t>موثقه عمار ساباطی </w:t>
      </w:r>
      <w:r w:rsidRPr="00FD3476">
        <w:rPr>
          <w:rFonts w:cstheme="minorHAnsi"/>
          <w:b/>
          <w:bCs/>
          <w:sz w:val="22"/>
          <w:szCs w:val="22"/>
        </w:rPr>
        <w:t>«</w:t>
      </w:r>
      <w:r w:rsidRPr="00FD3476">
        <w:rPr>
          <w:rFonts w:cstheme="minorHAnsi"/>
          <w:b/>
          <w:bCs/>
          <w:sz w:val="22"/>
          <w:szCs w:val="22"/>
          <w:rtl/>
        </w:rPr>
        <w:t>عن عمار الساباطي، عن أبي عبدالله</w:t>
      </w:r>
      <w:r w:rsidRPr="00FD3476">
        <w:rPr>
          <w:rFonts w:cstheme="minorHAnsi"/>
          <w:b/>
          <w:bCs/>
          <w:sz w:val="22"/>
          <w:szCs w:val="22"/>
        </w:rPr>
        <w:t>) </w:t>
      </w:r>
      <w:r w:rsidRPr="00FD3476">
        <w:rPr>
          <w:rFonts w:cstheme="minorHAnsi"/>
          <w:b/>
          <w:bCs/>
          <w:sz w:val="22"/>
          <w:szCs w:val="22"/>
          <w:rtl/>
        </w:rPr>
        <w:t>عليه السلام ) قال: سألته عن الغلام متى تجب عليه الصلاة؟ فقال</w:t>
      </w:r>
      <w:r w:rsidRPr="00FD3476">
        <w:rPr>
          <w:rFonts w:cstheme="minorHAnsi"/>
          <w:b/>
          <w:bCs/>
          <w:sz w:val="22"/>
          <w:szCs w:val="22"/>
        </w:rPr>
        <w:t>: </w:t>
      </w:r>
      <w:r w:rsidRPr="00FD3476">
        <w:rPr>
          <w:rFonts w:cstheme="minorHAnsi"/>
          <w:b/>
          <w:bCs/>
          <w:sz w:val="22"/>
          <w:szCs w:val="22"/>
          <w:rtl/>
        </w:rPr>
        <w:t>إذا أتى عليه ثلاث عشرة سنة، فإن احتلم قبل ذلك فقد وجبت عليه الصلاة، وجرى عليه القلم، والجارية مثل ذلك إن أتى لها ثلاث عشرة سنة، أو حاضت قبل ذلك، فقد وجبت عليها الصلاة، وجرى عليها القلم</w:t>
      </w:r>
      <w:r w:rsidRPr="00FD3476">
        <w:rPr>
          <w:rFonts w:cstheme="minorHAnsi"/>
          <w:b/>
          <w:bCs/>
          <w:sz w:val="22"/>
          <w:szCs w:val="22"/>
        </w:rPr>
        <w:t>.»</w:t>
      </w:r>
      <w:bookmarkStart w:id="0" w:name="_ftnref1"/>
      <w:r w:rsidRPr="00FD3476">
        <w:rPr>
          <w:rFonts w:cstheme="minorHAnsi"/>
          <w:b/>
          <w:bCs/>
          <w:sz w:val="22"/>
          <w:szCs w:val="22"/>
        </w:rPr>
        <w:fldChar w:fldCharType="begin"/>
      </w:r>
      <w:r w:rsidRPr="00FD3476">
        <w:rPr>
          <w:rFonts w:cstheme="minorHAnsi"/>
          <w:b/>
          <w:bCs/>
          <w:sz w:val="22"/>
          <w:szCs w:val="22"/>
        </w:rPr>
        <w:instrText>HYPERLINK "https://eshia.ir/feqh/archive/text/jazayeri/feqh/93/940125/" \l "_ftn1" \o "</w:instrText>
      </w:r>
      <w:r w:rsidRPr="00FD3476">
        <w:rPr>
          <w:rFonts w:cstheme="minorHAnsi"/>
          <w:b/>
          <w:bCs/>
          <w:sz w:val="22"/>
          <w:szCs w:val="22"/>
          <w:rtl/>
        </w:rPr>
        <w:instrText>وسائل الشیعه،</w:instrText>
      </w:r>
      <w:r w:rsidRPr="00FD3476">
        <w:rPr>
          <w:rFonts w:cstheme="minorHAnsi"/>
          <w:b/>
          <w:bCs/>
          <w:sz w:val="22"/>
          <w:szCs w:val="22"/>
        </w:rPr>
        <w:instrText xml:space="preserve">
</w:instrText>
      </w:r>
      <w:r w:rsidRPr="00FD3476">
        <w:rPr>
          <w:rFonts w:cstheme="minorHAnsi"/>
          <w:b/>
          <w:bCs/>
          <w:sz w:val="22"/>
          <w:szCs w:val="22"/>
          <w:rtl/>
        </w:rPr>
        <w:instrText>شیخ حر عاملی، ج 1، ص 45، ابواب مقدمات مقدمه العبادات، باب4، شماره</w:instrText>
      </w:r>
      <w:r w:rsidRPr="00FD3476">
        <w:rPr>
          <w:rFonts w:cstheme="minorHAnsi"/>
          <w:b/>
          <w:bCs/>
          <w:sz w:val="22"/>
          <w:szCs w:val="22"/>
        </w:rPr>
        <w:instrText xml:space="preserve">
</w:instrText>
      </w:r>
      <w:r w:rsidRPr="00FD3476">
        <w:rPr>
          <w:rFonts w:cstheme="minorHAnsi"/>
          <w:b/>
          <w:bCs/>
          <w:sz w:val="22"/>
          <w:szCs w:val="22"/>
          <w:rtl/>
        </w:rPr>
        <w:instrText>82، ح12،ط آل البیت</w:instrText>
      </w:r>
      <w:r w:rsidRPr="00FD3476">
        <w:rPr>
          <w:rFonts w:cstheme="minorHAnsi"/>
          <w:b/>
          <w:bCs/>
          <w:sz w:val="22"/>
          <w:szCs w:val="22"/>
        </w:rPr>
        <w:instrText>."</w:instrText>
      </w:r>
      <w:r w:rsidRPr="00FD3476">
        <w:rPr>
          <w:rFonts w:cstheme="minorHAnsi"/>
          <w:b/>
          <w:bCs/>
          <w:sz w:val="22"/>
          <w:szCs w:val="22"/>
        </w:rPr>
      </w:r>
      <w:r w:rsidRPr="00FD3476">
        <w:rPr>
          <w:rFonts w:cstheme="minorHAnsi"/>
          <w:b/>
          <w:bCs/>
          <w:sz w:val="22"/>
          <w:szCs w:val="22"/>
        </w:rPr>
        <w:fldChar w:fldCharType="separate"/>
      </w:r>
      <w:r w:rsidRPr="00FD3476">
        <w:rPr>
          <w:rStyle w:val="Hyperlink"/>
          <w:rFonts w:cstheme="minorHAnsi"/>
          <w:b/>
          <w:bCs/>
          <w:sz w:val="22"/>
          <w:szCs w:val="22"/>
        </w:rPr>
        <w:t>[1]</w:t>
      </w:r>
      <w:r w:rsidRPr="00FD3476">
        <w:rPr>
          <w:rFonts w:cstheme="minorHAnsi"/>
          <w:b/>
          <w:bCs/>
          <w:sz w:val="22"/>
          <w:szCs w:val="22"/>
        </w:rPr>
        <w:fldChar w:fldCharType="end"/>
      </w:r>
      <w:bookmarkEnd w:id="0"/>
      <w:r w:rsidRPr="00FD3476">
        <w:rPr>
          <w:rFonts w:cstheme="minorHAnsi"/>
          <w:b/>
          <w:bCs/>
          <w:sz w:val="22"/>
          <w:szCs w:val="22"/>
        </w:rPr>
        <w:br/>
      </w:r>
      <w:r w:rsidRPr="00FD3476">
        <w:rPr>
          <w:rFonts w:cstheme="minorHAnsi"/>
          <w:b/>
          <w:bCs/>
          <w:sz w:val="22"/>
          <w:szCs w:val="22"/>
          <w:rtl/>
        </w:rPr>
        <w:t>روایاتی که در تفسیر «بلغ أشده» آمده، مثل </w:t>
      </w:r>
      <w:r w:rsidRPr="00FD3476">
        <w:rPr>
          <w:rFonts w:cstheme="minorHAnsi"/>
          <w:b/>
          <w:bCs/>
          <w:sz w:val="22"/>
          <w:szCs w:val="22"/>
        </w:rPr>
        <w:t>«</w:t>
      </w:r>
      <w:r w:rsidRPr="00FD3476">
        <w:rPr>
          <w:rFonts w:cstheme="minorHAnsi"/>
          <w:b/>
          <w:bCs/>
          <w:sz w:val="22"/>
          <w:szCs w:val="22"/>
          <w:rtl/>
        </w:rPr>
        <w:t>عن عبدالله بن سنان، عن أبي عبدالله ( عليه السلام ) قال : سأله أبي وأنا حاضر عن قول الله عزّ وجّل : (حتى إذا بلغ أشده) قال : الاحتلام، قال </w:t>
      </w:r>
      <w:r w:rsidRPr="00FD3476">
        <w:rPr>
          <w:rFonts w:cstheme="minorHAnsi"/>
          <w:b/>
          <w:bCs/>
          <w:sz w:val="22"/>
          <w:szCs w:val="22"/>
        </w:rPr>
        <w:t>: </w:t>
      </w:r>
      <w:r w:rsidRPr="00FD3476">
        <w:rPr>
          <w:rFonts w:cstheme="minorHAnsi"/>
          <w:b/>
          <w:bCs/>
          <w:sz w:val="22"/>
          <w:szCs w:val="22"/>
          <w:rtl/>
        </w:rPr>
        <w:t>فقال : يحتلم في ست عشرة وسبع عشرة سنة ونحوها؟، فقال : لا إذا أتت عليه ثلاث عشرة سنة كتبت له الحسنات وكتبت عليه السسيئات، وجاز أمره إلا أن يكون سفيها أو ضعيفا</w:t>
      </w:r>
      <w:r w:rsidRPr="00FD3476">
        <w:rPr>
          <w:rFonts w:cstheme="minorHAnsi"/>
          <w:b/>
          <w:bCs/>
          <w:sz w:val="22"/>
          <w:szCs w:val="22"/>
        </w:rPr>
        <w:t>»</w:t>
      </w:r>
      <w:bookmarkStart w:id="1" w:name="_ftnref2"/>
      <w:r w:rsidRPr="00FD3476">
        <w:rPr>
          <w:rFonts w:cstheme="minorHAnsi"/>
          <w:b/>
          <w:bCs/>
          <w:sz w:val="22"/>
          <w:szCs w:val="22"/>
        </w:rPr>
        <w:fldChar w:fldCharType="begin"/>
      </w:r>
      <w:r w:rsidRPr="00FD3476">
        <w:rPr>
          <w:rFonts w:cstheme="minorHAnsi"/>
          <w:b/>
          <w:bCs/>
          <w:sz w:val="22"/>
          <w:szCs w:val="22"/>
        </w:rPr>
        <w:instrText>HYPERLINK "https://eshia.ir/feqh/archive/text/jazayeri/feqh/93/940125/" \l "_ftn2" \o "</w:instrText>
      </w:r>
      <w:r w:rsidRPr="00FD3476">
        <w:rPr>
          <w:rFonts w:cstheme="minorHAnsi"/>
          <w:b/>
          <w:bCs/>
          <w:sz w:val="22"/>
          <w:szCs w:val="22"/>
          <w:rtl/>
        </w:rPr>
        <w:instrText>وسائل الشیعه،</w:instrText>
      </w:r>
      <w:r w:rsidRPr="00FD3476">
        <w:rPr>
          <w:rFonts w:cstheme="minorHAnsi"/>
          <w:b/>
          <w:bCs/>
          <w:sz w:val="22"/>
          <w:szCs w:val="22"/>
        </w:rPr>
        <w:instrText xml:space="preserve">
</w:instrText>
      </w:r>
      <w:r w:rsidRPr="00FD3476">
        <w:rPr>
          <w:rFonts w:cstheme="minorHAnsi"/>
          <w:b/>
          <w:bCs/>
          <w:sz w:val="22"/>
          <w:szCs w:val="22"/>
          <w:rtl/>
        </w:rPr>
        <w:instrText>شیخ حر عاملی، ج 19، ص 363، کتاب الوصایا، باب44، شماره 24768،</w:instrText>
      </w:r>
      <w:r w:rsidRPr="00FD3476">
        <w:rPr>
          <w:rFonts w:cstheme="minorHAnsi"/>
          <w:b/>
          <w:bCs/>
          <w:sz w:val="22"/>
          <w:szCs w:val="22"/>
        </w:rPr>
        <w:instrText xml:space="preserve">
</w:instrText>
      </w:r>
      <w:r w:rsidRPr="00FD3476">
        <w:rPr>
          <w:rFonts w:cstheme="minorHAnsi"/>
          <w:b/>
          <w:bCs/>
          <w:sz w:val="22"/>
          <w:szCs w:val="22"/>
          <w:rtl/>
        </w:rPr>
        <w:instrText>ح8،ط آل البیت</w:instrText>
      </w:r>
      <w:r w:rsidRPr="00FD3476">
        <w:rPr>
          <w:rFonts w:cstheme="minorHAnsi"/>
          <w:b/>
          <w:bCs/>
          <w:sz w:val="22"/>
          <w:szCs w:val="22"/>
        </w:rPr>
        <w:instrText>."</w:instrText>
      </w:r>
      <w:r w:rsidRPr="00FD3476">
        <w:rPr>
          <w:rFonts w:cstheme="minorHAnsi"/>
          <w:b/>
          <w:bCs/>
          <w:sz w:val="22"/>
          <w:szCs w:val="22"/>
        </w:rPr>
      </w:r>
      <w:r w:rsidRPr="00FD3476">
        <w:rPr>
          <w:rFonts w:cstheme="minorHAnsi"/>
          <w:b/>
          <w:bCs/>
          <w:sz w:val="22"/>
          <w:szCs w:val="22"/>
        </w:rPr>
        <w:fldChar w:fldCharType="separate"/>
      </w:r>
      <w:r w:rsidRPr="00FD3476">
        <w:rPr>
          <w:rStyle w:val="Hyperlink"/>
          <w:rFonts w:cstheme="minorHAnsi"/>
          <w:b/>
          <w:bCs/>
          <w:sz w:val="22"/>
          <w:szCs w:val="22"/>
        </w:rPr>
        <w:t>[2]</w:t>
      </w:r>
      <w:r w:rsidRPr="00FD3476">
        <w:rPr>
          <w:rFonts w:cstheme="minorHAnsi"/>
          <w:b/>
          <w:bCs/>
          <w:sz w:val="22"/>
          <w:szCs w:val="22"/>
        </w:rPr>
        <w:fldChar w:fldCharType="end"/>
      </w:r>
      <w:bookmarkEnd w:id="1"/>
      <w:r w:rsidRPr="00FD3476">
        <w:rPr>
          <w:rFonts w:cstheme="minorHAnsi"/>
          <w:b/>
          <w:bCs/>
          <w:sz w:val="22"/>
          <w:szCs w:val="22"/>
          <w:rtl/>
        </w:rPr>
        <w:t>این روایت با اطلاق بر بلوغ در سن سیزده سالگی دختران دلالت دارد؛ چرا که تفصیلی میان مذکر و مونث ذکر نکرده</w:t>
      </w:r>
      <w:r w:rsidRPr="00FD3476">
        <w:rPr>
          <w:rFonts w:cstheme="minorHAnsi"/>
          <w:b/>
          <w:bCs/>
          <w:sz w:val="22"/>
          <w:szCs w:val="22"/>
        </w:rPr>
        <w:t>.</w:t>
      </w:r>
      <w:r w:rsidRPr="00FD3476">
        <w:rPr>
          <w:rFonts w:cstheme="minorHAnsi"/>
          <w:b/>
          <w:bCs/>
          <w:sz w:val="22"/>
          <w:szCs w:val="22"/>
        </w:rPr>
        <w:br/>
        <w:t>«</w:t>
      </w:r>
      <w:r w:rsidRPr="00FD3476">
        <w:rPr>
          <w:rFonts w:cstheme="minorHAnsi"/>
          <w:b/>
          <w:bCs/>
          <w:sz w:val="22"/>
          <w:szCs w:val="22"/>
          <w:rtl/>
        </w:rPr>
        <w:t>عن عبدالله بن سنان، عن أبي عبدالله (عليه السلام) قال : إذا بلغ أشده ثلاث عشرة سنة ودخل في الاربع عشرة وجب عليه ما وجب على المسلمين، احتلم أم لم يحتلم</w:t>
      </w:r>
      <w:r w:rsidRPr="00FD3476">
        <w:rPr>
          <w:rFonts w:cstheme="minorHAnsi"/>
          <w:b/>
          <w:bCs/>
          <w:sz w:val="22"/>
          <w:szCs w:val="22"/>
        </w:rPr>
        <w:t>»</w:t>
      </w:r>
      <w:bookmarkStart w:id="2" w:name="_ftnref3"/>
      <w:r w:rsidRPr="00FD3476">
        <w:rPr>
          <w:rFonts w:cstheme="minorHAnsi"/>
          <w:b/>
          <w:bCs/>
          <w:sz w:val="22"/>
          <w:szCs w:val="22"/>
        </w:rPr>
        <w:fldChar w:fldCharType="begin"/>
      </w:r>
      <w:r w:rsidRPr="00FD3476">
        <w:rPr>
          <w:rFonts w:cstheme="minorHAnsi"/>
          <w:b/>
          <w:bCs/>
          <w:sz w:val="22"/>
          <w:szCs w:val="22"/>
        </w:rPr>
        <w:instrText>HYPERLINK "https://eshia.ir/feqh/archive/text/jazayeri/feqh/93/940125/" \l "_ftn3" \o "</w:instrText>
      </w:r>
      <w:r w:rsidRPr="00FD3476">
        <w:rPr>
          <w:rFonts w:cstheme="minorHAnsi"/>
          <w:b/>
          <w:bCs/>
          <w:sz w:val="22"/>
          <w:szCs w:val="22"/>
          <w:rtl/>
        </w:rPr>
        <w:instrText>وسائل الشیعه،</w:instrText>
      </w:r>
      <w:r w:rsidRPr="00FD3476">
        <w:rPr>
          <w:rFonts w:cstheme="minorHAnsi"/>
          <w:b/>
          <w:bCs/>
          <w:sz w:val="22"/>
          <w:szCs w:val="22"/>
        </w:rPr>
        <w:instrText xml:space="preserve">
</w:instrText>
      </w:r>
      <w:r w:rsidRPr="00FD3476">
        <w:rPr>
          <w:rFonts w:cstheme="minorHAnsi"/>
          <w:b/>
          <w:bCs/>
          <w:sz w:val="22"/>
          <w:szCs w:val="22"/>
          <w:rtl/>
        </w:rPr>
        <w:instrText>شیخ حر عاملی، ج 17، ص 361، ابواب عقد البیع و شروطه، باب14،</w:instrText>
      </w:r>
      <w:r w:rsidRPr="00FD3476">
        <w:rPr>
          <w:rFonts w:cstheme="minorHAnsi"/>
          <w:b/>
          <w:bCs/>
          <w:sz w:val="22"/>
          <w:szCs w:val="22"/>
        </w:rPr>
        <w:instrText xml:space="preserve">
</w:instrText>
      </w:r>
      <w:r w:rsidRPr="00FD3476">
        <w:rPr>
          <w:rFonts w:cstheme="minorHAnsi"/>
          <w:b/>
          <w:bCs/>
          <w:sz w:val="22"/>
          <w:szCs w:val="22"/>
          <w:rtl/>
        </w:rPr>
        <w:instrText>شماره 22753، ح3،ط آل البیت</w:instrText>
      </w:r>
      <w:r w:rsidRPr="00FD3476">
        <w:rPr>
          <w:rFonts w:cstheme="minorHAnsi"/>
          <w:b/>
          <w:bCs/>
          <w:sz w:val="22"/>
          <w:szCs w:val="22"/>
        </w:rPr>
        <w:instrText>."</w:instrText>
      </w:r>
      <w:r w:rsidRPr="00FD3476">
        <w:rPr>
          <w:rFonts w:cstheme="minorHAnsi"/>
          <w:b/>
          <w:bCs/>
          <w:sz w:val="22"/>
          <w:szCs w:val="22"/>
        </w:rPr>
      </w:r>
      <w:r w:rsidRPr="00FD3476">
        <w:rPr>
          <w:rFonts w:cstheme="minorHAnsi"/>
          <w:b/>
          <w:bCs/>
          <w:sz w:val="22"/>
          <w:szCs w:val="22"/>
        </w:rPr>
        <w:fldChar w:fldCharType="separate"/>
      </w:r>
      <w:r w:rsidRPr="00FD3476">
        <w:rPr>
          <w:rStyle w:val="Hyperlink"/>
          <w:rFonts w:cstheme="minorHAnsi"/>
          <w:b/>
          <w:bCs/>
          <w:sz w:val="22"/>
          <w:szCs w:val="22"/>
        </w:rPr>
        <w:t>[3]</w:t>
      </w:r>
      <w:r w:rsidRPr="00FD3476">
        <w:rPr>
          <w:rFonts w:cstheme="minorHAnsi"/>
          <w:b/>
          <w:bCs/>
          <w:sz w:val="22"/>
          <w:szCs w:val="22"/>
        </w:rPr>
        <w:fldChar w:fldCharType="end"/>
      </w:r>
      <w:bookmarkEnd w:id="2"/>
      <w:r w:rsidRPr="00FD3476">
        <w:rPr>
          <w:rFonts w:cstheme="minorHAnsi"/>
          <w:b/>
          <w:bCs/>
          <w:sz w:val="22"/>
          <w:szCs w:val="22"/>
        </w:rPr>
        <w:br/>
      </w:r>
      <w:r w:rsidRPr="00FD3476">
        <w:rPr>
          <w:rFonts w:cstheme="minorHAnsi"/>
          <w:b/>
          <w:bCs/>
          <w:sz w:val="22"/>
          <w:szCs w:val="22"/>
          <w:rtl/>
        </w:rPr>
        <w:t>اشکال در استدلال به روایات</w:t>
      </w:r>
      <w:r w:rsidRPr="00FD3476">
        <w:rPr>
          <w:rFonts w:cstheme="minorHAnsi"/>
          <w:b/>
          <w:bCs/>
          <w:sz w:val="22"/>
          <w:szCs w:val="22"/>
        </w:rPr>
        <w:br/>
      </w:r>
      <w:r w:rsidRPr="00FD3476">
        <w:rPr>
          <w:rFonts w:cstheme="minorHAnsi"/>
          <w:b/>
          <w:bCs/>
          <w:sz w:val="22"/>
          <w:szCs w:val="22"/>
          <w:rtl/>
        </w:rPr>
        <w:t>لکن می توان گفت: باید روایاتی که با اطلاق بر بلوغ در سیزده سالگی دلالت دارند را حمل بر مقید یعنی مذکر نمود، در این صورت با قرینه واقع شدن مقید، اناث از تحت اطلاق این روایات خارج خواهند شد</w:t>
      </w:r>
      <w:r w:rsidRPr="00FD3476">
        <w:rPr>
          <w:rFonts w:cstheme="minorHAnsi"/>
          <w:b/>
          <w:bCs/>
          <w:sz w:val="22"/>
          <w:szCs w:val="22"/>
        </w:rPr>
        <w:t>.</w:t>
      </w:r>
      <w:r w:rsidRPr="00FD3476">
        <w:rPr>
          <w:rFonts w:cstheme="minorHAnsi"/>
          <w:b/>
          <w:bCs/>
          <w:sz w:val="22"/>
          <w:szCs w:val="22"/>
        </w:rPr>
        <w:br/>
      </w:r>
      <w:r w:rsidRPr="00FD3476">
        <w:rPr>
          <w:rFonts w:cstheme="minorHAnsi"/>
          <w:b/>
          <w:bCs/>
          <w:sz w:val="22"/>
          <w:szCs w:val="22"/>
          <w:rtl/>
        </w:rPr>
        <w:t>در جواب موثقه عمار که بالمطابقه دلالت بر بلوغ دختران مانند پسران در سیزده سالگی دارد، گفته شده: با تفحص در روایاتی که عمار راوی آنهاست موارد زیادی می یابیم که مشتمل بر احکام غریب و بعید هستند، لذا این احتمال در ذهن تقویت می شود که عمار ضعف حافظه و کثرت نیسان داشته است. این مطلب را ما از صاحب قاموس الرجال نقل نمودیم</w:t>
      </w:r>
      <w:r w:rsidRPr="00FD3476">
        <w:rPr>
          <w:rFonts w:cstheme="minorHAnsi"/>
          <w:b/>
          <w:bCs/>
          <w:sz w:val="22"/>
          <w:szCs w:val="22"/>
        </w:rPr>
        <w:t>.</w:t>
      </w:r>
      <w:r w:rsidRPr="00FD3476">
        <w:rPr>
          <w:rFonts w:cstheme="minorHAnsi"/>
          <w:b/>
          <w:bCs/>
          <w:sz w:val="22"/>
          <w:szCs w:val="22"/>
        </w:rPr>
        <w:br/>
      </w:r>
      <w:r w:rsidRPr="00FD3476">
        <w:rPr>
          <w:rFonts w:cstheme="minorHAnsi"/>
          <w:b/>
          <w:bCs/>
          <w:sz w:val="22"/>
          <w:szCs w:val="22"/>
          <w:rtl/>
        </w:rPr>
        <w:t>لکن به تبع سیدنا الاستاد ما اشکال را در این حد وارد نمی دانیم که نتوان در مورد روایات او اصالت الظهور یا اصالت الصدور را جاری ساخت، بلکه این دو اصل در مورد او جاری می باشند و این مقدار ضعف حافظه برای ما اثبات نشده. در هر صورت مهم این است که این روایت مخالف با سنت قطعیه بوده و در مقابل این یک روایت، روایات مستفیضه ای وجود دارد، که بالمطابقه یا بالالتزام البین دلالت بر کفایت اکمال نه سال می باشند لذا ما به صدور برخی از آنها اطمینان پیدا می کنیم و می گوییم: صحیح همان است که قول مشهور بر آن قائم شده</w:t>
      </w:r>
      <w:r w:rsidRPr="00FD3476">
        <w:rPr>
          <w:rFonts w:cstheme="minorHAnsi"/>
          <w:b/>
          <w:bCs/>
          <w:sz w:val="22"/>
          <w:szCs w:val="22"/>
        </w:rPr>
        <w:t>.</w:t>
      </w:r>
      <w:r w:rsidRPr="00FD3476">
        <w:rPr>
          <w:rFonts w:cstheme="minorHAnsi"/>
          <w:b/>
          <w:bCs/>
          <w:sz w:val="22"/>
          <w:szCs w:val="22"/>
        </w:rPr>
        <w:br/>
      </w:r>
      <w:r w:rsidRPr="00FD3476">
        <w:rPr>
          <w:rFonts w:cstheme="minorHAnsi"/>
          <w:b/>
          <w:bCs/>
          <w:sz w:val="22"/>
          <w:szCs w:val="22"/>
          <w:rtl/>
        </w:rPr>
        <w:t>قول به اختلاف مراتب بلوغ به حسب سن</w:t>
      </w:r>
      <w:r w:rsidRPr="00FD3476">
        <w:rPr>
          <w:rFonts w:cstheme="minorHAnsi"/>
          <w:b/>
          <w:bCs/>
          <w:sz w:val="22"/>
          <w:szCs w:val="22"/>
        </w:rPr>
        <w:br/>
      </w:r>
      <w:r w:rsidRPr="00FD3476">
        <w:rPr>
          <w:rFonts w:cstheme="minorHAnsi"/>
          <w:b/>
          <w:bCs/>
          <w:sz w:val="22"/>
          <w:szCs w:val="22"/>
          <w:rtl/>
        </w:rPr>
        <w:t>قول دیگر در مساله قول فیض کاشانی است. ایشان قائل به اختلاف مراتب بلوغ به حسب سن در قیاس با تکالیف مختلف برای جمع میان اخبار است. بنا بر این اگر در باب صوم آمده که روزه بر زن قبل از اکمال سیزده سالگی واجب نیست مگر آنکه قبل از آن حائض شود یا در باب حدود آمده که زن با اکمال نه سال مواخذه به حد می شود یا مواردی که صحت مثل عتق و هبه را از کسی که ده سالگی را تمام کرده صحیح است، را باید بر همین معنا حمل نمود. خلاصه کلام ایشان این است که سن بلوغ نسبت به احکام مختلف متفاوت است</w:t>
      </w:r>
      <w:r w:rsidRPr="00FD3476">
        <w:rPr>
          <w:rFonts w:cstheme="minorHAnsi"/>
          <w:b/>
          <w:bCs/>
          <w:sz w:val="22"/>
          <w:szCs w:val="22"/>
        </w:rPr>
        <w:t>.</w:t>
      </w:r>
      <w:r w:rsidRPr="00FD3476">
        <w:rPr>
          <w:rFonts w:cstheme="minorHAnsi"/>
          <w:b/>
          <w:bCs/>
          <w:sz w:val="22"/>
          <w:szCs w:val="22"/>
        </w:rPr>
        <w:br/>
      </w:r>
      <w:r w:rsidRPr="00FD3476">
        <w:rPr>
          <w:rFonts w:cstheme="minorHAnsi"/>
          <w:b/>
          <w:bCs/>
          <w:sz w:val="22"/>
          <w:szCs w:val="22"/>
          <w:rtl/>
        </w:rPr>
        <w:t>محدث بحرانی قول محدث کاشانی را به شکل دیگری بیان نموده اند، ایشان می فرماید</w:t>
      </w:r>
      <w:r w:rsidRPr="00FD3476">
        <w:rPr>
          <w:rFonts w:cstheme="minorHAnsi"/>
          <w:b/>
          <w:bCs/>
          <w:sz w:val="22"/>
          <w:szCs w:val="22"/>
        </w:rPr>
        <w:t xml:space="preserve">: « </w:t>
      </w:r>
      <w:r w:rsidRPr="00FD3476">
        <w:rPr>
          <w:rFonts w:cstheme="minorHAnsi"/>
          <w:b/>
          <w:bCs/>
          <w:sz w:val="22"/>
          <w:szCs w:val="22"/>
          <w:rtl/>
        </w:rPr>
        <w:t>ولا يبعد عندي في الجمع بين الأخبار المذكورة حمل ما دل على البلوغ بخمس عشرة على الحدود والمعاملات كما هو مقتضى سياق رواية حمران وحمل ما دل على ما دون ذلك على العبادات</w:t>
      </w:r>
      <w:r w:rsidRPr="00FD3476">
        <w:rPr>
          <w:rFonts w:cstheme="minorHAnsi"/>
          <w:b/>
          <w:bCs/>
          <w:sz w:val="22"/>
          <w:szCs w:val="22"/>
        </w:rPr>
        <w:t>»</w:t>
      </w:r>
      <w:bookmarkStart w:id="3" w:name="_ftnref4"/>
      <w:r w:rsidRPr="00FD3476">
        <w:rPr>
          <w:rFonts w:cstheme="minorHAnsi"/>
          <w:b/>
          <w:bCs/>
          <w:sz w:val="22"/>
          <w:szCs w:val="22"/>
        </w:rPr>
        <w:fldChar w:fldCharType="begin"/>
      </w:r>
      <w:r w:rsidRPr="00FD3476">
        <w:rPr>
          <w:rFonts w:cstheme="minorHAnsi"/>
          <w:b/>
          <w:bCs/>
          <w:sz w:val="22"/>
          <w:szCs w:val="22"/>
        </w:rPr>
        <w:instrText>HYPERLINK "https://eshia.ir/feqh/archive/text/jazayeri/feqh/93/940125/" \l "_ftn4" \o "</w:instrText>
      </w:r>
      <w:r w:rsidRPr="00FD3476">
        <w:rPr>
          <w:rFonts w:cstheme="minorHAnsi"/>
          <w:b/>
          <w:bCs/>
          <w:sz w:val="22"/>
          <w:szCs w:val="22"/>
          <w:rtl/>
        </w:rPr>
        <w:instrText>حدائق الناضره، الشیخ یوسف</w:instrText>
      </w:r>
      <w:r w:rsidRPr="00FD3476">
        <w:rPr>
          <w:rFonts w:cstheme="minorHAnsi"/>
          <w:b/>
          <w:bCs/>
          <w:sz w:val="22"/>
          <w:szCs w:val="22"/>
        </w:rPr>
        <w:instrText xml:space="preserve">
</w:instrText>
      </w:r>
      <w:r w:rsidRPr="00FD3476">
        <w:rPr>
          <w:rFonts w:cstheme="minorHAnsi"/>
          <w:b/>
          <w:bCs/>
          <w:sz w:val="22"/>
          <w:szCs w:val="22"/>
          <w:rtl/>
        </w:rPr>
        <w:instrText>البحرانی، ج13، ص185</w:instrText>
      </w:r>
      <w:r w:rsidRPr="00FD3476">
        <w:rPr>
          <w:rFonts w:cstheme="minorHAnsi"/>
          <w:b/>
          <w:bCs/>
          <w:sz w:val="22"/>
          <w:szCs w:val="22"/>
        </w:rPr>
        <w:instrText>"</w:instrText>
      </w:r>
      <w:r w:rsidRPr="00FD3476">
        <w:rPr>
          <w:rFonts w:cstheme="minorHAnsi"/>
          <w:b/>
          <w:bCs/>
          <w:sz w:val="22"/>
          <w:szCs w:val="22"/>
        </w:rPr>
      </w:r>
      <w:r w:rsidRPr="00FD3476">
        <w:rPr>
          <w:rFonts w:cstheme="minorHAnsi"/>
          <w:b/>
          <w:bCs/>
          <w:sz w:val="22"/>
          <w:szCs w:val="22"/>
        </w:rPr>
        <w:fldChar w:fldCharType="separate"/>
      </w:r>
      <w:r w:rsidRPr="00FD3476">
        <w:rPr>
          <w:rStyle w:val="Hyperlink"/>
          <w:rFonts w:cstheme="minorHAnsi"/>
          <w:b/>
          <w:bCs/>
          <w:sz w:val="22"/>
          <w:szCs w:val="22"/>
        </w:rPr>
        <w:t>[4]</w:t>
      </w:r>
      <w:r w:rsidRPr="00FD3476">
        <w:rPr>
          <w:rFonts w:cstheme="minorHAnsi"/>
          <w:b/>
          <w:bCs/>
          <w:sz w:val="22"/>
          <w:szCs w:val="22"/>
        </w:rPr>
        <w:fldChar w:fldCharType="end"/>
      </w:r>
      <w:bookmarkEnd w:id="3"/>
      <w:r w:rsidRPr="00FD3476">
        <w:rPr>
          <w:rFonts w:cstheme="minorHAnsi"/>
          <w:b/>
          <w:bCs/>
          <w:sz w:val="22"/>
          <w:szCs w:val="22"/>
          <w:rtl/>
        </w:rPr>
        <w:t>ایشان برای جمع بین اخبار مذکور روایاتی که دال بر بلوغ در سنین مختلف است را ابواب مختلف حمل می نماید، مثلا روایات پانزده سالگی را ناظر بر حدود و معاملات و کمتر از آن را بر عبادات می داند</w:t>
      </w:r>
      <w:r w:rsidRPr="00FD3476">
        <w:rPr>
          <w:rFonts w:cstheme="minorHAnsi"/>
          <w:b/>
          <w:bCs/>
          <w:sz w:val="22"/>
          <w:szCs w:val="22"/>
        </w:rPr>
        <w:t>.</w:t>
      </w:r>
      <w:r w:rsidRPr="00FD3476">
        <w:rPr>
          <w:rFonts w:cstheme="minorHAnsi"/>
          <w:b/>
          <w:bCs/>
          <w:sz w:val="22"/>
          <w:szCs w:val="22"/>
        </w:rPr>
        <w:br/>
      </w:r>
      <w:r w:rsidRPr="00FD3476">
        <w:rPr>
          <w:rFonts w:cstheme="minorHAnsi"/>
          <w:b/>
          <w:bCs/>
          <w:sz w:val="22"/>
          <w:szCs w:val="22"/>
          <w:rtl/>
        </w:rPr>
        <w:t>اشکال صاحب جواهر بر قول محدث کاشانی و بحرانی</w:t>
      </w:r>
      <w:r w:rsidRPr="00FD3476">
        <w:rPr>
          <w:rFonts w:cstheme="minorHAnsi"/>
          <w:b/>
          <w:bCs/>
          <w:sz w:val="22"/>
          <w:szCs w:val="22"/>
        </w:rPr>
        <w:br/>
      </w:r>
      <w:r w:rsidRPr="00FD3476">
        <w:rPr>
          <w:rFonts w:cstheme="minorHAnsi"/>
          <w:b/>
          <w:bCs/>
          <w:sz w:val="22"/>
          <w:szCs w:val="22"/>
          <w:rtl/>
        </w:rPr>
        <w:t>محقق کبیر شیخ محمد حسن نجفی در کتاب جواهر این دو نظر را رد نموده. ایشان فرموده</w:t>
      </w:r>
      <w:r w:rsidRPr="00FD3476">
        <w:rPr>
          <w:rFonts w:cstheme="minorHAnsi"/>
          <w:b/>
          <w:bCs/>
          <w:sz w:val="22"/>
          <w:szCs w:val="22"/>
        </w:rPr>
        <w:t>: «</w:t>
      </w:r>
      <w:r w:rsidRPr="00FD3476">
        <w:rPr>
          <w:rFonts w:cstheme="minorHAnsi"/>
          <w:b/>
          <w:bCs/>
          <w:sz w:val="22"/>
          <w:szCs w:val="22"/>
          <w:rtl/>
        </w:rPr>
        <w:t>فإن العلماء مع اختلافهم في حد البلوغ بالسن مجمعون على أن البلوغ الرافع للحجر هو الذي يثبت به التكليف، وأن الذي يثبت به التكليف في العبادات هو الذي يثبت به التكليف في غيرها، وأنه لا فرق بين الصلاة وغيرها من العبادات، فيه</w:t>
      </w:r>
      <w:r w:rsidRPr="00FD3476">
        <w:rPr>
          <w:rFonts w:cstheme="minorHAnsi"/>
          <w:b/>
          <w:bCs/>
          <w:sz w:val="22"/>
          <w:szCs w:val="22"/>
        </w:rPr>
        <w:t xml:space="preserve">. ... </w:t>
      </w:r>
      <w:r w:rsidRPr="00FD3476">
        <w:rPr>
          <w:rFonts w:cstheme="minorHAnsi"/>
          <w:b/>
          <w:bCs/>
          <w:sz w:val="22"/>
          <w:szCs w:val="22"/>
          <w:rtl/>
        </w:rPr>
        <w:t xml:space="preserve">ولم يسمع من أحد منهم تقسيم الصبيان </w:t>
      </w:r>
      <w:r w:rsidRPr="00FD3476">
        <w:rPr>
          <w:rFonts w:cstheme="minorHAnsi"/>
          <w:b/>
          <w:bCs/>
          <w:sz w:val="22"/>
          <w:szCs w:val="22"/>
          <w:rtl/>
        </w:rPr>
        <w:lastRenderedPageBreak/>
        <w:t>بحسب اختلاف مراتب السن، بأن يكون بعضهم بالغا في الصلاة مثلا غير بالغ في الزكاة، أو بالغا في العبادات دون المعاملات، أو بالغا فيها غير بالغ في الحدود، وما ذاك إلا لكون البلوغ بالسن أمرا متحدا غير قابل للتجزية والتنويع</w:t>
      </w:r>
      <w:r w:rsidRPr="00FD3476">
        <w:rPr>
          <w:rFonts w:cstheme="minorHAnsi"/>
          <w:b/>
          <w:bCs/>
          <w:sz w:val="22"/>
          <w:szCs w:val="22"/>
        </w:rPr>
        <w:t>»</w:t>
      </w:r>
      <w:bookmarkStart w:id="4" w:name="_ftnref5"/>
      <w:r w:rsidRPr="00FD3476">
        <w:rPr>
          <w:rFonts w:cstheme="minorHAnsi"/>
          <w:b/>
          <w:bCs/>
          <w:sz w:val="22"/>
          <w:szCs w:val="22"/>
        </w:rPr>
        <w:fldChar w:fldCharType="begin"/>
      </w:r>
      <w:r w:rsidRPr="00FD3476">
        <w:rPr>
          <w:rFonts w:cstheme="minorHAnsi"/>
          <w:b/>
          <w:bCs/>
          <w:sz w:val="22"/>
          <w:szCs w:val="22"/>
        </w:rPr>
        <w:instrText>HYPERLINK "https://eshia.ir/feqh/archive/text/jazayeri/feqh/93/940125/" \l "_ftn5" \o "</w:instrText>
      </w:r>
      <w:r w:rsidRPr="00FD3476">
        <w:rPr>
          <w:rFonts w:cstheme="minorHAnsi"/>
          <w:b/>
          <w:bCs/>
          <w:sz w:val="22"/>
          <w:szCs w:val="22"/>
          <w:rtl/>
        </w:rPr>
        <w:instrText>جواهر الکلام، الشیخ محمد حسن</w:instrText>
      </w:r>
      <w:r w:rsidRPr="00FD3476">
        <w:rPr>
          <w:rFonts w:cstheme="minorHAnsi"/>
          <w:b/>
          <w:bCs/>
          <w:sz w:val="22"/>
          <w:szCs w:val="22"/>
        </w:rPr>
        <w:instrText xml:space="preserve">
</w:instrText>
      </w:r>
      <w:r w:rsidRPr="00FD3476">
        <w:rPr>
          <w:rFonts w:cstheme="minorHAnsi"/>
          <w:b/>
          <w:bCs/>
          <w:sz w:val="22"/>
          <w:szCs w:val="22"/>
          <w:rtl/>
        </w:rPr>
        <w:instrText>النجفی الجواهری، ج26، ص41</w:instrText>
      </w:r>
      <w:r w:rsidRPr="00FD3476">
        <w:rPr>
          <w:rFonts w:cstheme="minorHAnsi"/>
          <w:b/>
          <w:bCs/>
          <w:sz w:val="22"/>
          <w:szCs w:val="22"/>
        </w:rPr>
        <w:instrText>"</w:instrText>
      </w:r>
      <w:r w:rsidRPr="00FD3476">
        <w:rPr>
          <w:rFonts w:cstheme="minorHAnsi"/>
          <w:b/>
          <w:bCs/>
          <w:sz w:val="22"/>
          <w:szCs w:val="22"/>
        </w:rPr>
      </w:r>
      <w:r w:rsidRPr="00FD3476">
        <w:rPr>
          <w:rFonts w:cstheme="minorHAnsi"/>
          <w:b/>
          <w:bCs/>
          <w:sz w:val="22"/>
          <w:szCs w:val="22"/>
        </w:rPr>
        <w:fldChar w:fldCharType="separate"/>
      </w:r>
      <w:r w:rsidRPr="00FD3476">
        <w:rPr>
          <w:rStyle w:val="Hyperlink"/>
          <w:rFonts w:cstheme="minorHAnsi"/>
          <w:b/>
          <w:bCs/>
          <w:sz w:val="22"/>
          <w:szCs w:val="22"/>
        </w:rPr>
        <w:t>[5]</w:t>
      </w:r>
      <w:r w:rsidRPr="00FD3476">
        <w:rPr>
          <w:rFonts w:cstheme="minorHAnsi"/>
          <w:b/>
          <w:bCs/>
          <w:sz w:val="22"/>
          <w:szCs w:val="22"/>
        </w:rPr>
        <w:fldChar w:fldCharType="end"/>
      </w:r>
      <w:bookmarkEnd w:id="4"/>
      <w:r w:rsidRPr="00FD3476">
        <w:rPr>
          <w:rFonts w:cstheme="minorHAnsi"/>
          <w:b/>
          <w:bCs/>
          <w:sz w:val="22"/>
          <w:szCs w:val="22"/>
          <w:rtl/>
        </w:rPr>
        <w:t>ایشان می فرماید: هر چند علما در سن تکلیف اختلاف دارند لکن در این مطلب که بلوغ آن است که موجب رفع حجر و ثبوت تکلیف چه در عبادات و چه در معاملات باشد، متحدند. تفاوتی نمی کند که تکلیف در نماز باشد یا غیر آن؛لذا معنا ندارد گفته شود، شخص در فلان تکلیف بالغ و در تکلیف دیگر نابالغ است، چرا که بلوغِ سِنی امری واحد و غیر قابل تجزیه است</w:t>
      </w:r>
      <w:r w:rsidRPr="00FD3476">
        <w:rPr>
          <w:rFonts w:cstheme="minorHAnsi"/>
          <w:b/>
          <w:bCs/>
          <w:sz w:val="22"/>
          <w:szCs w:val="22"/>
        </w:rPr>
        <w:t>.</w:t>
      </w:r>
      <w:r w:rsidRPr="00FD3476">
        <w:rPr>
          <w:rFonts w:cstheme="minorHAnsi"/>
          <w:b/>
          <w:bCs/>
          <w:sz w:val="22"/>
          <w:szCs w:val="22"/>
        </w:rPr>
        <w:br/>
      </w:r>
      <w:r w:rsidRPr="00FD3476">
        <w:rPr>
          <w:rFonts w:cstheme="minorHAnsi"/>
          <w:b/>
          <w:bCs/>
          <w:sz w:val="22"/>
          <w:szCs w:val="22"/>
          <w:rtl/>
        </w:rPr>
        <w:t>این روش از استدلال بر این مطلب استوار است که امکان ندارد در این بحث تمامی فقها قدما و متاخرین از زمان ائمه تا کنون به خطا رفته باشند، چرا که هیچ کدام از فقها قائل به این قول نشده اند. لذا بسیار بعید است که این قول صحیح باشد</w:t>
      </w:r>
      <w:r w:rsidRPr="00FD3476">
        <w:rPr>
          <w:rFonts w:cstheme="minorHAnsi"/>
          <w:b/>
          <w:bCs/>
          <w:sz w:val="22"/>
          <w:szCs w:val="22"/>
        </w:rPr>
        <w:t>.</w:t>
      </w:r>
      <w:r w:rsidRPr="00FD3476">
        <w:rPr>
          <w:rFonts w:cstheme="minorHAnsi"/>
          <w:b/>
          <w:bCs/>
          <w:sz w:val="22"/>
          <w:szCs w:val="22"/>
        </w:rPr>
        <w:br/>
      </w:r>
      <w:r w:rsidRPr="00FD3476">
        <w:rPr>
          <w:rFonts w:cstheme="minorHAnsi"/>
          <w:b/>
          <w:bCs/>
          <w:sz w:val="22"/>
          <w:szCs w:val="22"/>
          <w:rtl/>
        </w:rPr>
        <w:t>مویدی بر کلام صاحب جواهر</w:t>
      </w:r>
      <w:r w:rsidRPr="00FD3476">
        <w:rPr>
          <w:rFonts w:cstheme="minorHAnsi"/>
          <w:b/>
          <w:bCs/>
          <w:sz w:val="22"/>
          <w:szCs w:val="22"/>
        </w:rPr>
        <w:br/>
      </w:r>
      <w:r w:rsidRPr="00FD3476">
        <w:rPr>
          <w:rFonts w:cstheme="minorHAnsi"/>
          <w:b/>
          <w:bCs/>
          <w:sz w:val="22"/>
          <w:szCs w:val="22"/>
          <w:rtl/>
        </w:rPr>
        <w:t>به نظر ما موید کلام صاحب جواهر آیات قرآن هستند؛ در قرآن گاهی تعبیر به «بلوغ اشد» و گاهی به «بلوغ نکاح» و در جای دیگر به «بلوغ حلم» تعبیر شده است که تمامی این تعابیر ظاهر در یک امر یعنی رشد جسمی هستند که ملازم با تکون منی در باطن بدن و احتلام و میل به ازدواج است. تمام این موارد امر واحدی هستند، که مرحله ای از تطور و رشد جسمی می باشد و در آن انسان از حد طفولیت خارج و به مرد و یا زنی کامل تبدیل می شود، در این دوره بدن به سرعت رشد می کند و قد انسان بلند می شود. در زنان نیز این مرحله با رشد سینه ها همراه است. در این مرحله است که احکام شرعی بر انسان منجز می شوند</w:t>
      </w:r>
      <w:r w:rsidRPr="00FD3476">
        <w:rPr>
          <w:rFonts w:cstheme="minorHAnsi"/>
          <w:b/>
          <w:bCs/>
          <w:sz w:val="22"/>
          <w:szCs w:val="22"/>
        </w:rPr>
        <w:t>.</w:t>
      </w:r>
      <w:r w:rsidRPr="00FD3476">
        <w:rPr>
          <w:rFonts w:cstheme="minorHAnsi"/>
          <w:b/>
          <w:bCs/>
          <w:sz w:val="22"/>
          <w:szCs w:val="22"/>
        </w:rPr>
        <w:br/>
      </w:r>
      <w:r w:rsidRPr="00FD3476">
        <w:rPr>
          <w:rFonts w:cstheme="minorHAnsi"/>
          <w:b/>
          <w:bCs/>
          <w:sz w:val="22"/>
          <w:szCs w:val="22"/>
          <w:rtl/>
        </w:rPr>
        <w:t>لذا سن اماره ای بر بلوغ بوده و بلوغ امری واحد و تکوینیست که ملازم با آثار جسمانی است، نه امری اعتباری که شارع در هر بابی آن را به نحوی اعتبار کند</w:t>
      </w:r>
      <w:r w:rsidRPr="00FD3476">
        <w:rPr>
          <w:rFonts w:cstheme="minorHAnsi"/>
          <w:b/>
          <w:bCs/>
          <w:sz w:val="22"/>
          <w:szCs w:val="22"/>
        </w:rPr>
        <w:t>.</w:t>
      </w:r>
    </w:p>
    <w:p w14:paraId="49694EE3" w14:textId="77777777" w:rsidR="00FD3476" w:rsidRPr="00FD3476" w:rsidRDefault="00FD3476" w:rsidP="00FD3476">
      <w:pPr>
        <w:jc w:val="right"/>
      </w:pPr>
    </w:p>
    <w:p w14:paraId="68043BA5" w14:textId="77777777" w:rsidR="00FD3476" w:rsidRPr="00FD3476" w:rsidRDefault="00FD3476" w:rsidP="00FD3476">
      <w:pPr>
        <w:jc w:val="right"/>
      </w:pPr>
      <w:r w:rsidRPr="00FD3476">
        <w:pict w14:anchorId="67DB4544">
          <v:rect id="_x0000_i1031" style="width:0;height:1.5pt" o:hralign="center" o:hrstd="t" o:hr="t" fillcolor="#a0a0a0" stroked="f"/>
        </w:pict>
      </w:r>
    </w:p>
    <w:bookmarkStart w:id="5" w:name="_ftn1"/>
    <w:p w14:paraId="05711956" w14:textId="77777777" w:rsidR="00FD3476" w:rsidRPr="00FD3476" w:rsidRDefault="00FD3476" w:rsidP="00FD3476">
      <w:pPr>
        <w:jc w:val="right"/>
      </w:pPr>
      <w:r w:rsidRPr="00FD3476">
        <w:fldChar w:fldCharType="begin"/>
      </w:r>
      <w:r w:rsidRPr="00FD3476">
        <w:instrText>HYPERLINK "https://eshia.ir/feqh/archive/text/jazayeri/feqh/93/940125/" \l "_ftnref1" \o ""</w:instrText>
      </w:r>
      <w:r w:rsidRPr="00FD3476">
        <w:fldChar w:fldCharType="separate"/>
      </w:r>
      <w:r w:rsidRPr="00FD3476">
        <w:rPr>
          <w:rStyle w:val="Hyperlink"/>
        </w:rPr>
        <w:t>[1]</w:t>
      </w:r>
      <w:r w:rsidRPr="00FD3476">
        <w:fldChar w:fldCharType="end"/>
      </w:r>
      <w:bookmarkEnd w:id="5"/>
      <w:r w:rsidRPr="00FD3476">
        <w:t> </w:t>
      </w:r>
      <w:hyperlink r:id="rId4" w:tgtFrame="_blank" w:history="1">
        <w:r w:rsidRPr="00FD3476">
          <w:rPr>
            <w:rStyle w:val="Hyperlink"/>
            <w:rtl/>
          </w:rPr>
          <w:t>وسائل الشیعه، شیخ حر عاملی، ج 1، ص 45، ابواب مقدمات مقدمه العبادات، باب4، شماره 82، ح12،ط آل البیت</w:t>
        </w:r>
        <w:r w:rsidRPr="00FD3476">
          <w:rPr>
            <w:rStyle w:val="Hyperlink"/>
          </w:rPr>
          <w:t>.</w:t>
        </w:r>
      </w:hyperlink>
    </w:p>
    <w:bookmarkStart w:id="6" w:name="_ftn2"/>
    <w:p w14:paraId="5EE5BD66" w14:textId="77777777" w:rsidR="00FD3476" w:rsidRPr="00FD3476" w:rsidRDefault="00FD3476" w:rsidP="00FD3476">
      <w:pPr>
        <w:jc w:val="right"/>
      </w:pPr>
      <w:r w:rsidRPr="00FD3476">
        <w:fldChar w:fldCharType="begin"/>
      </w:r>
      <w:r w:rsidRPr="00FD3476">
        <w:instrText>HYPERLINK "https://eshia.ir/feqh/archive/text/jazayeri/feqh/93/940125/" \l "_ftnref2" \o ""</w:instrText>
      </w:r>
      <w:r w:rsidRPr="00FD3476">
        <w:fldChar w:fldCharType="separate"/>
      </w:r>
      <w:r w:rsidRPr="00FD3476">
        <w:rPr>
          <w:rStyle w:val="Hyperlink"/>
        </w:rPr>
        <w:t>[2]</w:t>
      </w:r>
      <w:r w:rsidRPr="00FD3476">
        <w:fldChar w:fldCharType="end"/>
      </w:r>
      <w:bookmarkEnd w:id="6"/>
      <w:r w:rsidRPr="00FD3476">
        <w:t> </w:t>
      </w:r>
      <w:hyperlink r:id="rId5" w:tgtFrame="_blank" w:history="1">
        <w:r w:rsidRPr="00FD3476">
          <w:rPr>
            <w:rStyle w:val="Hyperlink"/>
            <w:rtl/>
          </w:rPr>
          <w:t>وسائل الشیعه، شیخ حر عاملی، ج 19، ص 363، کتاب الوصایا، باب44، شماره 24768، ح8،ط آل البیت</w:t>
        </w:r>
        <w:r w:rsidRPr="00FD3476">
          <w:rPr>
            <w:rStyle w:val="Hyperlink"/>
          </w:rPr>
          <w:t>.</w:t>
        </w:r>
      </w:hyperlink>
    </w:p>
    <w:bookmarkStart w:id="7" w:name="_ftn3"/>
    <w:p w14:paraId="2E9FE4FF" w14:textId="77777777" w:rsidR="00FD3476" w:rsidRPr="00FD3476" w:rsidRDefault="00FD3476" w:rsidP="00FD3476">
      <w:pPr>
        <w:jc w:val="right"/>
      </w:pPr>
      <w:r w:rsidRPr="00FD3476">
        <w:fldChar w:fldCharType="begin"/>
      </w:r>
      <w:r w:rsidRPr="00FD3476">
        <w:instrText>HYPERLINK "https://eshia.ir/feqh/archive/text/jazayeri/feqh/93/940125/" \l "_ftnref3" \o ""</w:instrText>
      </w:r>
      <w:r w:rsidRPr="00FD3476">
        <w:fldChar w:fldCharType="separate"/>
      </w:r>
      <w:r w:rsidRPr="00FD3476">
        <w:rPr>
          <w:rStyle w:val="Hyperlink"/>
        </w:rPr>
        <w:t>[3]</w:t>
      </w:r>
      <w:r w:rsidRPr="00FD3476">
        <w:fldChar w:fldCharType="end"/>
      </w:r>
      <w:bookmarkEnd w:id="7"/>
      <w:r w:rsidRPr="00FD3476">
        <w:t> </w:t>
      </w:r>
      <w:hyperlink r:id="rId6" w:tgtFrame="_blank" w:history="1">
        <w:r w:rsidRPr="00FD3476">
          <w:rPr>
            <w:rStyle w:val="Hyperlink"/>
            <w:rtl/>
          </w:rPr>
          <w:t>وسائل الشیعه، شیخ حر عاملی، ج 17، ص 361، ابواب عقد البیع و شروطه، باب14، شماره 22753، ح3،ط آل البیت</w:t>
        </w:r>
        <w:r w:rsidRPr="00FD3476">
          <w:rPr>
            <w:rStyle w:val="Hyperlink"/>
          </w:rPr>
          <w:t>.</w:t>
        </w:r>
      </w:hyperlink>
    </w:p>
    <w:bookmarkStart w:id="8" w:name="_ftn4"/>
    <w:p w14:paraId="4720D68A" w14:textId="77777777" w:rsidR="00FD3476" w:rsidRPr="00FD3476" w:rsidRDefault="00FD3476" w:rsidP="00FD3476">
      <w:pPr>
        <w:jc w:val="right"/>
      </w:pPr>
      <w:r w:rsidRPr="00FD3476">
        <w:fldChar w:fldCharType="begin"/>
      </w:r>
      <w:r w:rsidRPr="00FD3476">
        <w:instrText>HYPERLINK "https://eshia.ir/feqh/archive/text/jazayeri/feqh/93/940125/" \l "_ftnref4" \o ""</w:instrText>
      </w:r>
      <w:r w:rsidRPr="00FD3476">
        <w:fldChar w:fldCharType="separate"/>
      </w:r>
      <w:r w:rsidRPr="00FD3476">
        <w:rPr>
          <w:rStyle w:val="Hyperlink"/>
        </w:rPr>
        <w:t>[4]</w:t>
      </w:r>
      <w:r w:rsidRPr="00FD3476">
        <w:fldChar w:fldCharType="end"/>
      </w:r>
      <w:bookmarkEnd w:id="8"/>
      <w:r w:rsidRPr="00FD3476">
        <w:t> </w:t>
      </w:r>
      <w:hyperlink r:id="rId7" w:tgtFrame="_blank" w:history="1">
        <w:r w:rsidRPr="00FD3476">
          <w:rPr>
            <w:rStyle w:val="Hyperlink"/>
            <w:rtl/>
          </w:rPr>
          <w:t>حدائق الناضره، الشیخ یوسف البحرانی، ج13، ص185</w:t>
        </w:r>
        <w:r w:rsidRPr="00FD3476">
          <w:rPr>
            <w:rStyle w:val="Hyperlink"/>
          </w:rPr>
          <w:t>.</w:t>
        </w:r>
      </w:hyperlink>
    </w:p>
    <w:bookmarkStart w:id="9" w:name="_ftn5"/>
    <w:p w14:paraId="51D3460C" w14:textId="77777777" w:rsidR="00FD3476" w:rsidRPr="00FD3476" w:rsidRDefault="00FD3476" w:rsidP="00FD3476">
      <w:pPr>
        <w:jc w:val="right"/>
      </w:pPr>
      <w:r w:rsidRPr="00FD3476">
        <w:fldChar w:fldCharType="begin"/>
      </w:r>
      <w:r w:rsidRPr="00FD3476">
        <w:instrText>HYPERLINK "https://eshia.ir/feqh/archive/text/jazayeri/feqh/93/940125/" \l "_ftnref5" \o ""</w:instrText>
      </w:r>
      <w:r w:rsidRPr="00FD3476">
        <w:fldChar w:fldCharType="separate"/>
      </w:r>
      <w:r w:rsidRPr="00FD3476">
        <w:rPr>
          <w:rStyle w:val="Hyperlink"/>
        </w:rPr>
        <w:t>[5]</w:t>
      </w:r>
      <w:r w:rsidRPr="00FD3476">
        <w:fldChar w:fldCharType="end"/>
      </w:r>
      <w:bookmarkEnd w:id="9"/>
      <w:r w:rsidRPr="00FD3476">
        <w:t> </w:t>
      </w:r>
      <w:hyperlink r:id="rId8" w:tgtFrame="_blank" w:history="1">
        <w:r w:rsidRPr="00FD3476">
          <w:rPr>
            <w:rStyle w:val="Hyperlink"/>
            <w:rtl/>
          </w:rPr>
          <w:t>جواهر الکلام، الشیخ محمد حسن النجفی الجواهری، ج26، ص41</w:t>
        </w:r>
      </w:hyperlink>
    </w:p>
    <w:p w14:paraId="069C806E" w14:textId="77777777" w:rsidR="00E404DB" w:rsidRDefault="00E404DB" w:rsidP="00FD3476">
      <w:pPr>
        <w:jc w:val="right"/>
      </w:pP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05CA"/>
    <w:rsid w:val="00005F60"/>
    <w:rsid w:val="006F393A"/>
    <w:rsid w:val="00963D73"/>
    <w:rsid w:val="00E404DB"/>
    <w:rsid w:val="00F705CA"/>
    <w:rsid w:val="00FD347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F42D3E"/>
  <w15:chartTrackingRefBased/>
  <w15:docId w15:val="{DDA4F0AB-6C66-4F8E-9775-11761BF25B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705C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705C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705C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705C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705C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705C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05C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05C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05C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05C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705C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705C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705C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705C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705C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05C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05C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05CA"/>
    <w:rPr>
      <w:rFonts w:eastAsiaTheme="majorEastAsia" w:cstheme="majorBidi"/>
      <w:color w:val="272727" w:themeColor="text1" w:themeTint="D8"/>
    </w:rPr>
  </w:style>
  <w:style w:type="paragraph" w:styleId="Title">
    <w:name w:val="Title"/>
    <w:basedOn w:val="Normal"/>
    <w:next w:val="Normal"/>
    <w:link w:val="TitleChar"/>
    <w:uiPriority w:val="10"/>
    <w:qFormat/>
    <w:rsid w:val="00F705C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05C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05C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05C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05CA"/>
    <w:pPr>
      <w:spacing w:before="160"/>
      <w:jc w:val="center"/>
    </w:pPr>
    <w:rPr>
      <w:i/>
      <w:iCs/>
      <w:color w:val="404040" w:themeColor="text1" w:themeTint="BF"/>
    </w:rPr>
  </w:style>
  <w:style w:type="character" w:customStyle="1" w:styleId="QuoteChar">
    <w:name w:val="Quote Char"/>
    <w:basedOn w:val="DefaultParagraphFont"/>
    <w:link w:val="Quote"/>
    <w:uiPriority w:val="29"/>
    <w:rsid w:val="00F705CA"/>
    <w:rPr>
      <w:i/>
      <w:iCs/>
      <w:color w:val="404040" w:themeColor="text1" w:themeTint="BF"/>
    </w:rPr>
  </w:style>
  <w:style w:type="paragraph" w:styleId="ListParagraph">
    <w:name w:val="List Paragraph"/>
    <w:basedOn w:val="Normal"/>
    <w:uiPriority w:val="34"/>
    <w:qFormat/>
    <w:rsid w:val="00F705CA"/>
    <w:pPr>
      <w:ind w:left="720"/>
      <w:contextualSpacing/>
    </w:pPr>
  </w:style>
  <w:style w:type="character" w:styleId="IntenseEmphasis">
    <w:name w:val="Intense Emphasis"/>
    <w:basedOn w:val="DefaultParagraphFont"/>
    <w:uiPriority w:val="21"/>
    <w:qFormat/>
    <w:rsid w:val="00F705CA"/>
    <w:rPr>
      <w:i/>
      <w:iCs/>
      <w:color w:val="2F5496" w:themeColor="accent1" w:themeShade="BF"/>
    </w:rPr>
  </w:style>
  <w:style w:type="paragraph" w:styleId="IntenseQuote">
    <w:name w:val="Intense Quote"/>
    <w:basedOn w:val="Normal"/>
    <w:next w:val="Normal"/>
    <w:link w:val="IntenseQuoteChar"/>
    <w:uiPriority w:val="30"/>
    <w:qFormat/>
    <w:rsid w:val="00F705C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705CA"/>
    <w:rPr>
      <w:i/>
      <w:iCs/>
      <w:color w:val="2F5496" w:themeColor="accent1" w:themeShade="BF"/>
    </w:rPr>
  </w:style>
  <w:style w:type="character" w:styleId="IntenseReference">
    <w:name w:val="Intense Reference"/>
    <w:basedOn w:val="DefaultParagraphFont"/>
    <w:uiPriority w:val="32"/>
    <w:qFormat/>
    <w:rsid w:val="00F705CA"/>
    <w:rPr>
      <w:b/>
      <w:bCs/>
      <w:smallCaps/>
      <w:color w:val="2F5496" w:themeColor="accent1" w:themeShade="BF"/>
      <w:spacing w:val="5"/>
    </w:rPr>
  </w:style>
  <w:style w:type="character" w:styleId="Hyperlink">
    <w:name w:val="Hyperlink"/>
    <w:basedOn w:val="DefaultParagraphFont"/>
    <w:uiPriority w:val="99"/>
    <w:unhideWhenUsed/>
    <w:rsid w:val="00FD3476"/>
    <w:rPr>
      <w:color w:val="0563C1" w:themeColor="hyperlink"/>
      <w:u w:val="single"/>
    </w:rPr>
  </w:style>
  <w:style w:type="character" w:styleId="UnresolvedMention">
    <w:name w:val="Unresolved Mention"/>
    <w:basedOn w:val="DefaultParagraphFont"/>
    <w:uiPriority w:val="99"/>
    <w:semiHidden/>
    <w:unhideWhenUsed/>
    <w:rsid w:val="00FD347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lib.eshia.ir/10088/26/41/%D8%A7%D9%84%D8%B9%D9%84%D9%85%D8%A7%D8%A1" TargetMode="External"/><Relationship Id="rId3" Type="http://schemas.openxmlformats.org/officeDocument/2006/relationships/webSettings" Target="webSettings.xml"/><Relationship Id="rId7" Type="http://schemas.openxmlformats.org/officeDocument/2006/relationships/hyperlink" Target="http://lib.eshia.ir/10013/13/185/%D9%8A%D8%A8%D8%B9%D8%AF"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lib.eshia.ir/11025/17/361/%D8%A3%D8%B4%D8%AF%D9%87" TargetMode="External"/><Relationship Id="rId5" Type="http://schemas.openxmlformats.org/officeDocument/2006/relationships/hyperlink" Target="http://lib.eshia.ir/11025/19/363/%D8%B3%D9%86%D8%A7%D9%86" TargetMode="External"/><Relationship Id="rId10" Type="http://schemas.openxmlformats.org/officeDocument/2006/relationships/theme" Target="theme/theme1.xml"/><Relationship Id="rId4" Type="http://schemas.openxmlformats.org/officeDocument/2006/relationships/hyperlink" Target="http://lib.eshia.ir/11025/1/45/%D8%AB%D9%84%D8%A7%D8%AB"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1105</Words>
  <Characters>6305</Characters>
  <Application>Microsoft Office Word</Application>
  <DocSecurity>0</DocSecurity>
  <Lines>52</Lines>
  <Paragraphs>14</Paragraphs>
  <ScaleCrop>false</ScaleCrop>
  <Company/>
  <LinksUpToDate>false</LinksUpToDate>
  <CharactersWithSpaces>7396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2025-11-26T22:41:00Z</dcterms:created>
  <dcterms:modified xsi:type="dcterms:W3CDTF">2025-11-26T22:42:00Z</dcterms:modified>
</cp:coreProperties>
</file>